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91B2AC5" w:rsidR="00E66558" w:rsidRPr="00E948E5" w:rsidRDefault="007C535D" w:rsidP="007C535D">
      <w:pPr>
        <w:pStyle w:val="Heading1"/>
        <w:jc w:val="center"/>
        <w:rPr>
          <w:color w:val="1F497D" w:themeColor="text2"/>
          <w:sz w:val="22"/>
          <w:szCs w:val="22"/>
        </w:rPr>
      </w:pPr>
      <w:bookmarkStart w:id="0" w:name="_Toc400361362"/>
      <w:bookmarkStart w:id="1" w:name="_Toc443397153"/>
      <w:bookmarkStart w:id="2" w:name="_Toc357771638"/>
      <w:bookmarkStart w:id="3" w:name="_Toc346793416"/>
      <w:bookmarkStart w:id="4" w:name="_Toc328122777"/>
      <w:r w:rsidRPr="00E948E5">
        <w:rPr>
          <w:color w:val="1F497D" w:themeColor="text2"/>
          <w:sz w:val="22"/>
          <w:szCs w:val="22"/>
        </w:rPr>
        <w:t xml:space="preserve">Cotton End Forest School </w:t>
      </w:r>
      <w:r w:rsidR="009D71E8" w:rsidRPr="00E948E5">
        <w:rPr>
          <w:color w:val="1F497D" w:themeColor="text2"/>
          <w:sz w:val="22"/>
          <w:szCs w:val="22"/>
        </w:rPr>
        <w:t xml:space="preserve">Pupil </w:t>
      </w:r>
      <w:r w:rsidRPr="00E948E5">
        <w:rPr>
          <w:color w:val="1F497D" w:themeColor="text2"/>
          <w:sz w:val="22"/>
          <w:szCs w:val="22"/>
        </w:rPr>
        <w:t>P</w:t>
      </w:r>
      <w:r w:rsidR="009D71E8" w:rsidRPr="00E948E5">
        <w:rPr>
          <w:color w:val="1F497D" w:themeColor="text2"/>
          <w:sz w:val="22"/>
          <w:szCs w:val="22"/>
        </w:rPr>
        <w:t xml:space="preserve">remium </w:t>
      </w:r>
      <w:r w:rsidRPr="00E948E5">
        <w:rPr>
          <w:color w:val="1F497D" w:themeColor="text2"/>
          <w:sz w:val="22"/>
          <w:szCs w:val="22"/>
        </w:rPr>
        <w:t>S</w:t>
      </w:r>
      <w:r w:rsidR="009D71E8" w:rsidRPr="00E948E5">
        <w:rPr>
          <w:color w:val="1F497D" w:themeColor="text2"/>
          <w:sz w:val="22"/>
          <w:szCs w:val="22"/>
        </w:rPr>
        <w:t xml:space="preserve">trategy </w:t>
      </w:r>
      <w:r w:rsidRPr="00E948E5">
        <w:rPr>
          <w:color w:val="1F497D" w:themeColor="text2"/>
          <w:sz w:val="22"/>
          <w:szCs w:val="22"/>
        </w:rPr>
        <w:t>S</w:t>
      </w:r>
      <w:r w:rsidR="009D71E8" w:rsidRPr="00E948E5">
        <w:rPr>
          <w:color w:val="1F497D" w:themeColor="text2"/>
          <w:sz w:val="22"/>
          <w:szCs w:val="22"/>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324493D8" w14:textId="7D31BB33" w:rsidR="007C535D" w:rsidRPr="00E948E5" w:rsidRDefault="007C535D" w:rsidP="007C535D">
      <w:pPr>
        <w:jc w:val="center"/>
        <w:rPr>
          <w:b/>
          <w:color w:val="1F497D" w:themeColor="text2"/>
          <w:sz w:val="22"/>
          <w:szCs w:val="22"/>
        </w:rPr>
      </w:pPr>
      <w:r w:rsidRPr="00E948E5">
        <w:rPr>
          <w:b/>
          <w:color w:val="1F497D" w:themeColor="text2"/>
          <w:sz w:val="22"/>
          <w:szCs w:val="22"/>
        </w:rPr>
        <w:t>202</w:t>
      </w:r>
      <w:r w:rsidR="00D177F1">
        <w:rPr>
          <w:b/>
          <w:color w:val="1F497D" w:themeColor="text2"/>
          <w:sz w:val="22"/>
          <w:szCs w:val="22"/>
        </w:rPr>
        <w:t>5</w:t>
      </w:r>
      <w:r w:rsidRPr="00E948E5">
        <w:rPr>
          <w:b/>
          <w:color w:val="1F497D" w:themeColor="text2"/>
          <w:sz w:val="22"/>
          <w:szCs w:val="22"/>
        </w:rPr>
        <w:t>/202</w:t>
      </w:r>
      <w:r w:rsidR="00D177F1">
        <w:rPr>
          <w:b/>
          <w:color w:val="1F497D" w:themeColor="text2"/>
          <w:sz w:val="22"/>
          <w:szCs w:val="22"/>
        </w:rPr>
        <w:t>6</w:t>
      </w:r>
      <w:r w:rsidRPr="00E948E5">
        <w:rPr>
          <w:b/>
          <w:color w:val="1F497D" w:themeColor="text2"/>
          <w:sz w:val="22"/>
          <w:szCs w:val="22"/>
        </w:rPr>
        <w:t xml:space="preserve"> – 202</w:t>
      </w:r>
      <w:r w:rsidR="00D177F1">
        <w:rPr>
          <w:b/>
          <w:color w:val="1F497D" w:themeColor="text2"/>
          <w:sz w:val="22"/>
          <w:szCs w:val="22"/>
        </w:rPr>
        <w:t>7</w:t>
      </w:r>
      <w:r w:rsidRPr="00E948E5">
        <w:rPr>
          <w:b/>
          <w:color w:val="1F497D" w:themeColor="text2"/>
          <w:sz w:val="22"/>
          <w:szCs w:val="22"/>
        </w:rPr>
        <w:t>/202</w:t>
      </w:r>
      <w:r w:rsidR="00D177F1">
        <w:rPr>
          <w:b/>
          <w:color w:val="1F497D" w:themeColor="text2"/>
          <w:sz w:val="22"/>
          <w:szCs w:val="22"/>
        </w:rPr>
        <w:t>8</w:t>
      </w:r>
    </w:p>
    <w:p w14:paraId="2A7D54B2" w14:textId="3AF025A0" w:rsidR="00E66558" w:rsidRPr="00E948E5" w:rsidRDefault="009D71E8" w:rsidP="003A160C">
      <w:pPr>
        <w:pStyle w:val="Heading2"/>
        <w:jc w:val="both"/>
        <w:rPr>
          <w:b w:val="0"/>
          <w:bCs/>
          <w:color w:val="auto"/>
          <w:sz w:val="22"/>
          <w:szCs w:val="22"/>
        </w:rPr>
      </w:pPr>
      <w:r w:rsidRPr="00E948E5">
        <w:rPr>
          <w:b w:val="0"/>
          <w:bCs/>
          <w:color w:val="auto"/>
          <w:sz w:val="22"/>
          <w:szCs w:val="22"/>
        </w:rPr>
        <w:t xml:space="preserve">This statement details our school’s use of </w:t>
      </w:r>
      <w:r w:rsidR="00590CE9">
        <w:rPr>
          <w:b w:val="0"/>
          <w:bCs/>
          <w:color w:val="auto"/>
          <w:sz w:val="22"/>
          <w:szCs w:val="22"/>
        </w:rPr>
        <w:t>P</w:t>
      </w:r>
      <w:r w:rsidRPr="00E948E5">
        <w:rPr>
          <w:b w:val="0"/>
          <w:bCs/>
          <w:color w:val="auto"/>
          <w:sz w:val="22"/>
          <w:szCs w:val="22"/>
        </w:rPr>
        <w:t xml:space="preserve">upil </w:t>
      </w:r>
      <w:r w:rsidR="00590CE9">
        <w:rPr>
          <w:b w:val="0"/>
          <w:bCs/>
          <w:color w:val="auto"/>
          <w:sz w:val="22"/>
          <w:szCs w:val="22"/>
        </w:rPr>
        <w:t>P</w:t>
      </w:r>
      <w:r w:rsidRPr="00E948E5">
        <w:rPr>
          <w:b w:val="0"/>
          <w:bCs/>
          <w:color w:val="auto"/>
          <w:sz w:val="22"/>
          <w:szCs w:val="22"/>
        </w:rPr>
        <w:t xml:space="preserve">remium funding to help improve the attainment of our disadvantaged pupils. </w:t>
      </w:r>
    </w:p>
    <w:p w14:paraId="2A7D54B3" w14:textId="07E244D6" w:rsidR="00E66558" w:rsidRPr="00E948E5" w:rsidRDefault="009D71E8" w:rsidP="003A160C">
      <w:pPr>
        <w:pStyle w:val="Heading2"/>
        <w:spacing w:before="240"/>
        <w:jc w:val="both"/>
        <w:rPr>
          <w:b w:val="0"/>
          <w:bCs/>
          <w:color w:val="auto"/>
          <w:sz w:val="22"/>
          <w:szCs w:val="22"/>
        </w:rPr>
      </w:pPr>
      <w:r w:rsidRPr="00E948E5">
        <w:rPr>
          <w:b w:val="0"/>
          <w:bCs/>
          <w:color w:val="auto"/>
          <w:sz w:val="22"/>
          <w:szCs w:val="22"/>
        </w:rPr>
        <w:t xml:space="preserve">It outlines our pupil premium strategy, how we intend to spend the funding in this academic year and the effect that last year’s spending of pupil premium had within our school. </w:t>
      </w:r>
    </w:p>
    <w:p w14:paraId="0E777D7E" w14:textId="76848DED" w:rsidR="003A160C" w:rsidRPr="00E948E5" w:rsidRDefault="003A160C" w:rsidP="003A160C">
      <w:pPr>
        <w:jc w:val="both"/>
        <w:rPr>
          <w:sz w:val="22"/>
          <w:szCs w:val="22"/>
        </w:rPr>
      </w:pPr>
      <w:r w:rsidRPr="00E948E5">
        <w:rPr>
          <w:sz w:val="22"/>
          <w:szCs w:val="22"/>
        </w:rPr>
        <w:t>The strategy is for a three-year cycle and will be reviewed on a yearly basis.</w:t>
      </w:r>
    </w:p>
    <w:p w14:paraId="2A7D54B4" w14:textId="77777777" w:rsidR="00E66558" w:rsidRPr="00E948E5" w:rsidRDefault="009D71E8">
      <w:pPr>
        <w:pStyle w:val="Heading2"/>
        <w:rPr>
          <w:sz w:val="22"/>
          <w:szCs w:val="22"/>
        </w:rPr>
      </w:pPr>
      <w:r w:rsidRPr="00E948E5">
        <w:rPr>
          <w:sz w:val="22"/>
          <w:szCs w:val="22"/>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E948E5"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E948E5" w:rsidRDefault="009D71E8">
            <w:pPr>
              <w:pStyle w:val="TableHeader"/>
              <w:jc w:val="left"/>
              <w:rPr>
                <w:sz w:val="22"/>
                <w:szCs w:val="22"/>
              </w:rPr>
            </w:pPr>
            <w:r w:rsidRPr="00E948E5">
              <w:rPr>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E948E5" w:rsidRDefault="009D71E8">
            <w:pPr>
              <w:pStyle w:val="TableHeader"/>
              <w:jc w:val="left"/>
              <w:rPr>
                <w:sz w:val="22"/>
                <w:szCs w:val="22"/>
              </w:rPr>
            </w:pPr>
            <w:r w:rsidRPr="00E948E5">
              <w:rPr>
                <w:sz w:val="22"/>
                <w:szCs w:val="22"/>
              </w:rPr>
              <w:t>Data</w:t>
            </w:r>
          </w:p>
        </w:tc>
      </w:tr>
      <w:tr w:rsidR="00E66558" w:rsidRPr="00E948E5"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948E5" w:rsidRDefault="009D71E8">
            <w:pPr>
              <w:pStyle w:val="TableRow"/>
              <w:rPr>
                <w:sz w:val="22"/>
                <w:szCs w:val="22"/>
              </w:rPr>
            </w:pPr>
            <w:r w:rsidRPr="00E948E5">
              <w:rPr>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87984C9" w:rsidR="00E66558" w:rsidRPr="00E948E5" w:rsidRDefault="003A160C">
            <w:pPr>
              <w:pStyle w:val="TableRow"/>
              <w:rPr>
                <w:sz w:val="22"/>
                <w:szCs w:val="22"/>
              </w:rPr>
            </w:pPr>
            <w:r w:rsidRPr="00E948E5">
              <w:rPr>
                <w:sz w:val="22"/>
                <w:szCs w:val="22"/>
              </w:rPr>
              <w:t>Cotton End Forest School</w:t>
            </w:r>
          </w:p>
        </w:tc>
      </w:tr>
      <w:tr w:rsidR="00E66558" w:rsidRPr="00E948E5"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948E5" w:rsidRDefault="009D71E8">
            <w:pPr>
              <w:pStyle w:val="TableRow"/>
              <w:rPr>
                <w:sz w:val="22"/>
                <w:szCs w:val="22"/>
              </w:rPr>
            </w:pPr>
            <w:r w:rsidRPr="00E948E5">
              <w:rPr>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F25DBEA" w:rsidR="00E66558" w:rsidRPr="00E948E5" w:rsidRDefault="00984278">
            <w:pPr>
              <w:pStyle w:val="TableRow"/>
              <w:rPr>
                <w:sz w:val="22"/>
                <w:szCs w:val="22"/>
              </w:rPr>
            </w:pPr>
            <w:r>
              <w:rPr>
                <w:sz w:val="22"/>
                <w:szCs w:val="22"/>
              </w:rPr>
              <w:t>429</w:t>
            </w:r>
          </w:p>
        </w:tc>
      </w:tr>
      <w:tr w:rsidR="00E66558" w:rsidRPr="00E948E5"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948E5" w:rsidRDefault="009D71E8">
            <w:pPr>
              <w:pStyle w:val="TableRow"/>
              <w:rPr>
                <w:sz w:val="22"/>
                <w:szCs w:val="22"/>
              </w:rPr>
            </w:pPr>
            <w:r w:rsidRPr="00E948E5">
              <w:rPr>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664D746" w:rsidR="00E66558" w:rsidRPr="00E948E5" w:rsidRDefault="006E0696">
            <w:pPr>
              <w:pStyle w:val="TableRow"/>
              <w:rPr>
                <w:sz w:val="22"/>
                <w:szCs w:val="22"/>
              </w:rPr>
            </w:pPr>
            <w:r>
              <w:rPr>
                <w:sz w:val="22"/>
                <w:szCs w:val="22"/>
              </w:rPr>
              <w:t>14%</w:t>
            </w:r>
          </w:p>
        </w:tc>
      </w:tr>
      <w:tr w:rsidR="00E66558" w:rsidRPr="00E948E5"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E948E5" w:rsidRDefault="009D71E8">
            <w:pPr>
              <w:pStyle w:val="TableRow"/>
              <w:rPr>
                <w:sz w:val="22"/>
                <w:szCs w:val="22"/>
              </w:rPr>
            </w:pPr>
            <w:r w:rsidRPr="00E948E5">
              <w:rPr>
                <w:sz w:val="22"/>
                <w:szCs w:val="22"/>
              </w:rPr>
              <w:t xml:space="preserve">Academic year/years that our current pupil premium strategy plan covers </w:t>
            </w:r>
            <w:r w:rsidRPr="00E948E5">
              <w:rPr>
                <w:b/>
                <w:bCs/>
                <w:sz w:val="22"/>
                <w:szCs w:val="22"/>
              </w:rPr>
              <w:t>(</w:t>
            </w:r>
            <w:proofErr w:type="gramStart"/>
            <w:r w:rsidRPr="00E948E5">
              <w:rPr>
                <w:b/>
                <w:bCs/>
                <w:sz w:val="22"/>
                <w:szCs w:val="22"/>
              </w:rPr>
              <w:t>3 year</w:t>
            </w:r>
            <w:proofErr w:type="gramEnd"/>
            <w:r w:rsidRPr="00E948E5">
              <w:rPr>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360E939" w:rsidR="00E66558" w:rsidRPr="00E948E5" w:rsidRDefault="00D177F1">
            <w:pPr>
              <w:pStyle w:val="TableRow"/>
              <w:rPr>
                <w:sz w:val="22"/>
                <w:szCs w:val="22"/>
              </w:rPr>
            </w:pPr>
            <w:r>
              <w:rPr>
                <w:sz w:val="22"/>
                <w:szCs w:val="22"/>
              </w:rPr>
              <w:t>2025/2026 – 2027/2028</w:t>
            </w:r>
          </w:p>
        </w:tc>
      </w:tr>
      <w:tr w:rsidR="00E66558" w:rsidRPr="00E948E5"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948E5" w:rsidRDefault="009D71E8">
            <w:pPr>
              <w:pStyle w:val="TableRow"/>
              <w:rPr>
                <w:sz w:val="22"/>
                <w:szCs w:val="22"/>
              </w:rPr>
            </w:pPr>
            <w:r w:rsidRPr="00E948E5">
              <w:rPr>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6B445CC" w:rsidR="00E66558" w:rsidRPr="00E948E5" w:rsidRDefault="00253E89">
            <w:pPr>
              <w:pStyle w:val="TableRow"/>
              <w:rPr>
                <w:sz w:val="22"/>
                <w:szCs w:val="22"/>
              </w:rPr>
            </w:pPr>
            <w:r w:rsidRPr="00E948E5">
              <w:rPr>
                <w:sz w:val="22"/>
                <w:szCs w:val="22"/>
              </w:rPr>
              <w:t>October 202</w:t>
            </w:r>
            <w:r w:rsidR="00D177F1">
              <w:rPr>
                <w:sz w:val="22"/>
                <w:szCs w:val="22"/>
              </w:rPr>
              <w:t>5</w:t>
            </w:r>
          </w:p>
        </w:tc>
      </w:tr>
      <w:tr w:rsidR="00E66558" w:rsidRPr="00E948E5"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948E5" w:rsidRDefault="009D71E8">
            <w:pPr>
              <w:pStyle w:val="TableRow"/>
              <w:rPr>
                <w:sz w:val="22"/>
                <w:szCs w:val="22"/>
              </w:rPr>
            </w:pPr>
            <w:r w:rsidRPr="00E948E5">
              <w:rPr>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8EE28B0" w:rsidR="00E66558" w:rsidRPr="00E948E5" w:rsidRDefault="00253E89">
            <w:pPr>
              <w:pStyle w:val="TableRow"/>
              <w:rPr>
                <w:sz w:val="22"/>
                <w:szCs w:val="22"/>
              </w:rPr>
            </w:pPr>
            <w:r w:rsidRPr="00E948E5">
              <w:rPr>
                <w:sz w:val="22"/>
                <w:szCs w:val="22"/>
              </w:rPr>
              <w:t>July 202</w:t>
            </w:r>
            <w:r w:rsidR="00D177F1">
              <w:rPr>
                <w:sz w:val="22"/>
                <w:szCs w:val="22"/>
              </w:rPr>
              <w:t>6</w:t>
            </w:r>
          </w:p>
        </w:tc>
      </w:tr>
      <w:tr w:rsidR="00E66558" w:rsidRPr="00E948E5"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948E5" w:rsidRDefault="009D71E8">
            <w:pPr>
              <w:pStyle w:val="TableRow"/>
              <w:rPr>
                <w:sz w:val="22"/>
                <w:szCs w:val="22"/>
              </w:rPr>
            </w:pPr>
            <w:r w:rsidRPr="00E948E5">
              <w:rPr>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3BE5" w14:textId="77777777" w:rsidR="00E66558" w:rsidRPr="00E948E5" w:rsidRDefault="00253E89">
            <w:pPr>
              <w:pStyle w:val="TableRow"/>
              <w:rPr>
                <w:sz w:val="22"/>
                <w:szCs w:val="22"/>
              </w:rPr>
            </w:pPr>
            <w:r w:rsidRPr="00E948E5">
              <w:rPr>
                <w:sz w:val="22"/>
                <w:szCs w:val="22"/>
              </w:rPr>
              <w:t>Karen Headland</w:t>
            </w:r>
          </w:p>
          <w:p w14:paraId="2A7D54CB" w14:textId="479F6FFE" w:rsidR="00253E89" w:rsidRPr="00E948E5" w:rsidRDefault="00253E89">
            <w:pPr>
              <w:pStyle w:val="TableRow"/>
              <w:rPr>
                <w:sz w:val="22"/>
                <w:szCs w:val="22"/>
              </w:rPr>
            </w:pPr>
            <w:r w:rsidRPr="00E948E5">
              <w:rPr>
                <w:sz w:val="22"/>
                <w:szCs w:val="22"/>
              </w:rPr>
              <w:t>Headteacher</w:t>
            </w:r>
          </w:p>
        </w:tc>
      </w:tr>
      <w:tr w:rsidR="00E66558" w:rsidRPr="00E948E5"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948E5" w:rsidRDefault="009D71E8">
            <w:pPr>
              <w:pStyle w:val="TableRow"/>
              <w:rPr>
                <w:sz w:val="22"/>
                <w:szCs w:val="22"/>
              </w:rPr>
            </w:pPr>
            <w:r w:rsidRPr="00E948E5">
              <w:rPr>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ABEC8" w14:textId="77777777" w:rsidR="00E66558" w:rsidRPr="00E948E5" w:rsidRDefault="00253E89">
            <w:pPr>
              <w:pStyle w:val="TableRow"/>
              <w:rPr>
                <w:sz w:val="22"/>
                <w:szCs w:val="22"/>
              </w:rPr>
            </w:pPr>
            <w:r w:rsidRPr="00E948E5">
              <w:rPr>
                <w:sz w:val="22"/>
                <w:szCs w:val="22"/>
              </w:rPr>
              <w:t>Kylie Grey</w:t>
            </w:r>
          </w:p>
          <w:p w14:paraId="2A7D54CE" w14:textId="63A63D66" w:rsidR="00253E89" w:rsidRPr="00E948E5" w:rsidRDefault="00253E89">
            <w:pPr>
              <w:pStyle w:val="TableRow"/>
              <w:rPr>
                <w:sz w:val="22"/>
                <w:szCs w:val="22"/>
              </w:rPr>
            </w:pPr>
            <w:r w:rsidRPr="00E948E5">
              <w:rPr>
                <w:sz w:val="22"/>
                <w:szCs w:val="22"/>
              </w:rPr>
              <w:t>Deputy Headteacher</w:t>
            </w:r>
          </w:p>
        </w:tc>
      </w:tr>
    </w:tbl>
    <w:bookmarkEnd w:id="2"/>
    <w:bookmarkEnd w:id="3"/>
    <w:bookmarkEnd w:id="4"/>
    <w:p w14:paraId="2A7D54D3" w14:textId="77777777" w:rsidR="00E66558" w:rsidRPr="00E948E5" w:rsidRDefault="009D71E8">
      <w:pPr>
        <w:spacing w:before="480" w:line="240" w:lineRule="auto"/>
        <w:rPr>
          <w:b/>
          <w:color w:val="104F75"/>
          <w:sz w:val="22"/>
          <w:szCs w:val="22"/>
        </w:rPr>
      </w:pPr>
      <w:r w:rsidRPr="00E948E5">
        <w:rPr>
          <w:b/>
          <w:color w:val="104F75"/>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E948E5"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948E5" w:rsidRDefault="009D71E8">
            <w:pPr>
              <w:pStyle w:val="TableRow"/>
              <w:rPr>
                <w:sz w:val="22"/>
                <w:szCs w:val="22"/>
              </w:rPr>
            </w:pPr>
            <w:r w:rsidRPr="00E948E5">
              <w:rPr>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948E5" w:rsidRDefault="009D71E8">
            <w:pPr>
              <w:pStyle w:val="TableRow"/>
              <w:rPr>
                <w:sz w:val="22"/>
                <w:szCs w:val="22"/>
              </w:rPr>
            </w:pPr>
            <w:r w:rsidRPr="00E948E5">
              <w:rPr>
                <w:b/>
                <w:sz w:val="22"/>
                <w:szCs w:val="22"/>
              </w:rPr>
              <w:t>Amount</w:t>
            </w:r>
          </w:p>
        </w:tc>
      </w:tr>
      <w:tr w:rsidR="00E66558" w:rsidRPr="00E948E5"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948E5" w:rsidRDefault="009D71E8">
            <w:pPr>
              <w:pStyle w:val="TableRow"/>
              <w:rPr>
                <w:sz w:val="22"/>
                <w:szCs w:val="22"/>
              </w:rPr>
            </w:pPr>
            <w:r w:rsidRPr="00E948E5">
              <w:rPr>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3828138" w:rsidR="00E66558" w:rsidRPr="00E948E5" w:rsidRDefault="009D71E8">
            <w:pPr>
              <w:pStyle w:val="TableRow"/>
              <w:rPr>
                <w:sz w:val="22"/>
                <w:szCs w:val="22"/>
              </w:rPr>
            </w:pPr>
            <w:r w:rsidRPr="00E948E5">
              <w:rPr>
                <w:sz w:val="22"/>
                <w:szCs w:val="22"/>
              </w:rPr>
              <w:t>£</w:t>
            </w:r>
            <w:r w:rsidR="00D177F1">
              <w:rPr>
                <w:sz w:val="22"/>
                <w:szCs w:val="22"/>
              </w:rPr>
              <w:t>90,900</w:t>
            </w:r>
          </w:p>
        </w:tc>
      </w:tr>
      <w:tr w:rsidR="00E66558" w:rsidRPr="00E948E5"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948E5" w:rsidRDefault="009D71E8">
            <w:pPr>
              <w:pStyle w:val="TableRow"/>
              <w:rPr>
                <w:sz w:val="22"/>
                <w:szCs w:val="22"/>
              </w:rPr>
            </w:pPr>
            <w:r w:rsidRPr="00E948E5">
              <w:rPr>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0AA9EF6" w:rsidR="00E66558" w:rsidRPr="00E948E5" w:rsidRDefault="009D71E8">
            <w:pPr>
              <w:pStyle w:val="TableRow"/>
              <w:rPr>
                <w:sz w:val="22"/>
                <w:szCs w:val="22"/>
              </w:rPr>
            </w:pPr>
            <w:r w:rsidRPr="00E948E5">
              <w:rPr>
                <w:sz w:val="22"/>
                <w:szCs w:val="22"/>
              </w:rPr>
              <w:t>£</w:t>
            </w:r>
            <w:r w:rsidR="00B344EE" w:rsidRPr="00E948E5">
              <w:rPr>
                <w:sz w:val="22"/>
                <w:szCs w:val="22"/>
              </w:rPr>
              <w:t>0</w:t>
            </w:r>
          </w:p>
        </w:tc>
      </w:tr>
      <w:tr w:rsidR="00E66558" w:rsidRPr="00E948E5"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948E5" w:rsidRDefault="009D71E8">
            <w:pPr>
              <w:pStyle w:val="TableRow"/>
              <w:rPr>
                <w:b/>
                <w:sz w:val="22"/>
                <w:szCs w:val="22"/>
              </w:rPr>
            </w:pPr>
            <w:r w:rsidRPr="00E948E5">
              <w:rPr>
                <w:b/>
                <w:sz w:val="22"/>
                <w:szCs w:val="22"/>
              </w:rPr>
              <w:t>Total budget for this academic year</w:t>
            </w:r>
          </w:p>
          <w:p w14:paraId="2A7D54E1" w14:textId="77777777" w:rsidR="00E66558" w:rsidRPr="00E948E5" w:rsidRDefault="009D71E8">
            <w:pPr>
              <w:pStyle w:val="TableRow"/>
              <w:rPr>
                <w:sz w:val="22"/>
                <w:szCs w:val="22"/>
              </w:rPr>
            </w:pPr>
            <w:r w:rsidRPr="00E948E5">
              <w:rPr>
                <w:sz w:val="22"/>
                <w:szCs w:val="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E70C36B" w:rsidR="00E66558" w:rsidRPr="00E948E5" w:rsidRDefault="009D71E8">
            <w:pPr>
              <w:pStyle w:val="TableRow"/>
              <w:rPr>
                <w:sz w:val="22"/>
                <w:szCs w:val="22"/>
              </w:rPr>
            </w:pPr>
            <w:r w:rsidRPr="00E948E5">
              <w:rPr>
                <w:sz w:val="22"/>
                <w:szCs w:val="22"/>
              </w:rPr>
              <w:t>£</w:t>
            </w:r>
            <w:r w:rsidR="00D177F1">
              <w:rPr>
                <w:sz w:val="22"/>
                <w:szCs w:val="22"/>
              </w:rPr>
              <w:t>90,900</w:t>
            </w:r>
          </w:p>
        </w:tc>
      </w:tr>
    </w:tbl>
    <w:p w14:paraId="2A7D54E4" w14:textId="77777777" w:rsidR="00E66558" w:rsidRPr="00E948E5" w:rsidRDefault="009D71E8">
      <w:pPr>
        <w:pStyle w:val="Heading1"/>
        <w:rPr>
          <w:sz w:val="22"/>
          <w:szCs w:val="22"/>
        </w:rPr>
      </w:pPr>
      <w:r w:rsidRPr="00E948E5">
        <w:rPr>
          <w:sz w:val="22"/>
          <w:szCs w:val="22"/>
        </w:rPr>
        <w:lastRenderedPageBreak/>
        <w:t>Part A: Pupil premium strategy plan</w:t>
      </w:r>
    </w:p>
    <w:p w14:paraId="2A7D54E5" w14:textId="77777777" w:rsidR="00E66558" w:rsidRPr="00E948E5" w:rsidRDefault="009D71E8">
      <w:pPr>
        <w:pStyle w:val="Heading2"/>
        <w:rPr>
          <w:sz w:val="22"/>
          <w:szCs w:val="22"/>
        </w:rPr>
      </w:pPr>
      <w:bookmarkStart w:id="14" w:name="_Toc357771640"/>
      <w:bookmarkStart w:id="15" w:name="_Toc346793418"/>
      <w:r w:rsidRPr="00E948E5">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E948E5"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229D"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Cotton End Forest School is a two-form entry primary school, located south of Bedford. Our current site opened in March 2019, and we continue to grow as a diverse community, with children joining us from a range of local towns and villages.</w:t>
            </w:r>
          </w:p>
          <w:p w14:paraId="40799F9A"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The Pupil Premium Strategy Plan is set over a three-year cycle, reviewed annually to ensure our priorities and actions remain sharply focused. At the heart of our strategy is our commitment to ensuring that every pupil, regardless of background or barrier, is a highly successful learner who leaves us with the knowledge, skills, and confidence to thrive.</w:t>
            </w:r>
          </w:p>
          <w:p w14:paraId="14ECA420"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 xml:space="preserve">Our most recent internal data shows that in some year groups the gap between disadvantaged pupils and their peers </w:t>
            </w:r>
            <w:r w:rsidRPr="00485F8F">
              <w:rPr>
                <w:rStyle w:val="Strong"/>
                <w:rFonts w:ascii="Arial" w:hAnsi="Arial" w:cs="Arial"/>
                <w:sz w:val="22"/>
                <w:szCs w:val="22"/>
              </w:rPr>
              <w:t>has widened over the past year</w:t>
            </w:r>
            <w:r w:rsidRPr="00485F8F">
              <w:rPr>
                <w:rFonts w:ascii="Arial" w:hAnsi="Arial" w:cs="Arial"/>
                <w:sz w:val="22"/>
                <w:szCs w:val="22"/>
              </w:rPr>
              <w:t xml:space="preserve">. This is most evident in </w:t>
            </w:r>
            <w:r w:rsidRPr="00485F8F">
              <w:rPr>
                <w:rStyle w:val="Strong"/>
                <w:rFonts w:ascii="Arial" w:hAnsi="Arial" w:cs="Arial"/>
                <w:sz w:val="22"/>
                <w:szCs w:val="22"/>
              </w:rPr>
              <w:t>writing and maths</w:t>
            </w:r>
            <w:r w:rsidRPr="00485F8F">
              <w:rPr>
                <w:rFonts w:ascii="Arial" w:hAnsi="Arial" w:cs="Arial"/>
                <w:sz w:val="22"/>
                <w:szCs w:val="22"/>
              </w:rPr>
              <w:t xml:space="preserve">, where gaps have either grown or are at risk of widening further. In addition to academic outcomes, we have identified that many disadvantaged pupils require additional support with </w:t>
            </w:r>
            <w:r w:rsidRPr="00485F8F">
              <w:rPr>
                <w:rStyle w:val="Strong"/>
                <w:rFonts w:ascii="Arial" w:hAnsi="Arial" w:cs="Arial"/>
                <w:sz w:val="22"/>
                <w:szCs w:val="22"/>
              </w:rPr>
              <w:t>social, emotional and mental health (SEMH)</w:t>
            </w:r>
            <w:r w:rsidRPr="00485F8F">
              <w:rPr>
                <w:rFonts w:ascii="Arial" w:hAnsi="Arial" w:cs="Arial"/>
                <w:sz w:val="22"/>
                <w:szCs w:val="22"/>
              </w:rPr>
              <w:t xml:space="preserve"> needs and face other non-academic barriers, such as </w:t>
            </w:r>
            <w:r w:rsidRPr="00485F8F">
              <w:rPr>
                <w:rStyle w:val="Strong"/>
                <w:rFonts w:ascii="Arial" w:hAnsi="Arial" w:cs="Arial"/>
                <w:sz w:val="22"/>
                <w:szCs w:val="22"/>
              </w:rPr>
              <w:t>behaviour</w:t>
            </w:r>
            <w:r w:rsidRPr="00485F8F">
              <w:rPr>
                <w:rFonts w:ascii="Arial" w:hAnsi="Arial" w:cs="Arial"/>
                <w:sz w:val="22"/>
                <w:szCs w:val="22"/>
              </w:rPr>
              <w:t xml:space="preserve"> and </w:t>
            </w:r>
            <w:r w:rsidRPr="00485F8F">
              <w:rPr>
                <w:rStyle w:val="Strong"/>
                <w:rFonts w:ascii="Arial" w:hAnsi="Arial" w:cs="Arial"/>
                <w:sz w:val="22"/>
                <w:szCs w:val="22"/>
              </w:rPr>
              <w:t>attendance</w:t>
            </w:r>
            <w:r w:rsidRPr="00485F8F">
              <w:rPr>
                <w:rFonts w:ascii="Arial" w:hAnsi="Arial" w:cs="Arial"/>
                <w:sz w:val="22"/>
                <w:szCs w:val="22"/>
              </w:rPr>
              <w:t>.</w:t>
            </w:r>
          </w:p>
          <w:p w14:paraId="5561168C"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 xml:space="preserve">We use a wide range of assessments to inform our approach, from </w:t>
            </w:r>
            <w:r w:rsidRPr="00485F8F">
              <w:rPr>
                <w:rStyle w:val="Strong"/>
                <w:rFonts w:ascii="Arial" w:hAnsi="Arial" w:cs="Arial"/>
                <w:sz w:val="22"/>
                <w:szCs w:val="22"/>
              </w:rPr>
              <w:t>NELI</w:t>
            </w:r>
            <w:r w:rsidRPr="00485F8F">
              <w:rPr>
                <w:rFonts w:ascii="Arial" w:hAnsi="Arial" w:cs="Arial"/>
                <w:sz w:val="22"/>
                <w:szCs w:val="22"/>
              </w:rPr>
              <w:t xml:space="preserve"> in Reception to </w:t>
            </w:r>
            <w:r w:rsidRPr="00485F8F">
              <w:rPr>
                <w:rStyle w:val="Strong"/>
                <w:rFonts w:ascii="Arial" w:hAnsi="Arial" w:cs="Arial"/>
                <w:sz w:val="22"/>
                <w:szCs w:val="22"/>
              </w:rPr>
              <w:t>PIRA</w:t>
            </w:r>
            <w:r w:rsidRPr="00485F8F">
              <w:rPr>
                <w:rFonts w:ascii="Arial" w:hAnsi="Arial" w:cs="Arial"/>
                <w:sz w:val="22"/>
                <w:szCs w:val="22"/>
              </w:rPr>
              <w:t xml:space="preserve"> and </w:t>
            </w:r>
            <w:r w:rsidRPr="00485F8F">
              <w:rPr>
                <w:rStyle w:val="Strong"/>
                <w:rFonts w:ascii="Arial" w:hAnsi="Arial" w:cs="Arial"/>
                <w:sz w:val="22"/>
                <w:szCs w:val="22"/>
              </w:rPr>
              <w:t>White Rose Maths</w:t>
            </w:r>
            <w:r w:rsidRPr="00485F8F">
              <w:rPr>
                <w:rFonts w:ascii="Arial" w:hAnsi="Arial" w:cs="Arial"/>
                <w:sz w:val="22"/>
                <w:szCs w:val="22"/>
              </w:rPr>
              <w:t xml:space="preserve"> assessments across Key Stages 1 and 2. These tools help us to focus not only on curriculum coverage, but crucially on what pupils have retained and can apply.</w:t>
            </w:r>
          </w:p>
          <w:p w14:paraId="08AAD82C"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 xml:space="preserve">High-quality </w:t>
            </w:r>
            <w:r w:rsidRPr="00485F8F">
              <w:rPr>
                <w:rStyle w:val="Strong"/>
                <w:rFonts w:ascii="Arial" w:hAnsi="Arial" w:cs="Arial"/>
                <w:sz w:val="22"/>
                <w:szCs w:val="22"/>
              </w:rPr>
              <w:t>first teaching</w:t>
            </w:r>
            <w:r w:rsidRPr="00485F8F">
              <w:rPr>
                <w:rFonts w:ascii="Arial" w:hAnsi="Arial" w:cs="Arial"/>
                <w:sz w:val="22"/>
                <w:szCs w:val="22"/>
              </w:rPr>
              <w:t xml:space="preserve"> is at the centre of our strategy. Teachers adapt the curriculum to meet the needs of their pupils, identifying where additional support is needed and implementing strategies to close gaps. This approach benefits disadvantaged and non-disadvantaged pupils alike. Where needed, targeted academic support and evidence-based interventions are carefully planned and delivered, including for pupils with SEND.</w:t>
            </w:r>
          </w:p>
          <w:p w14:paraId="1D33C543"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 xml:space="preserve">Our approach is </w:t>
            </w:r>
            <w:r w:rsidRPr="00485F8F">
              <w:rPr>
                <w:rStyle w:val="Strong"/>
                <w:rFonts w:ascii="Arial" w:hAnsi="Arial" w:cs="Arial"/>
                <w:sz w:val="22"/>
                <w:szCs w:val="22"/>
              </w:rPr>
              <w:t>responsive to need</w:t>
            </w:r>
            <w:r w:rsidRPr="00485F8F">
              <w:rPr>
                <w:rFonts w:ascii="Arial" w:hAnsi="Arial" w:cs="Arial"/>
                <w:sz w:val="22"/>
                <w:szCs w:val="22"/>
              </w:rPr>
              <w:t xml:space="preserve"> and rooted in robust diagnostic assessments. Strategies work together to provide joined-up support across the academic and pastoral domains of school life. To ensure our actions are effective, we will:</w:t>
            </w:r>
          </w:p>
          <w:p w14:paraId="6623546F" w14:textId="77777777" w:rsidR="00CA6E89" w:rsidRPr="00485F8F" w:rsidRDefault="00CA6E89" w:rsidP="00485F8F">
            <w:pPr>
              <w:pStyle w:val="NormalWeb"/>
              <w:numPr>
                <w:ilvl w:val="0"/>
                <w:numId w:val="20"/>
              </w:numPr>
              <w:jc w:val="both"/>
              <w:rPr>
                <w:rFonts w:ascii="Arial" w:hAnsi="Arial" w:cs="Arial"/>
                <w:sz w:val="22"/>
                <w:szCs w:val="22"/>
              </w:rPr>
            </w:pPr>
            <w:r w:rsidRPr="00485F8F">
              <w:rPr>
                <w:rFonts w:ascii="Arial" w:hAnsi="Arial" w:cs="Arial"/>
                <w:sz w:val="22"/>
                <w:szCs w:val="22"/>
              </w:rPr>
              <w:t>Ensure pupils are challenged appropriately in the work they are set.</w:t>
            </w:r>
          </w:p>
          <w:p w14:paraId="746B0FE5" w14:textId="77777777" w:rsidR="00CA6E89" w:rsidRPr="00485F8F" w:rsidRDefault="00CA6E89" w:rsidP="00485F8F">
            <w:pPr>
              <w:pStyle w:val="NormalWeb"/>
              <w:numPr>
                <w:ilvl w:val="0"/>
                <w:numId w:val="20"/>
              </w:numPr>
              <w:jc w:val="both"/>
              <w:rPr>
                <w:rFonts w:ascii="Arial" w:hAnsi="Arial" w:cs="Arial"/>
                <w:sz w:val="22"/>
                <w:szCs w:val="22"/>
              </w:rPr>
            </w:pPr>
            <w:r w:rsidRPr="00485F8F">
              <w:rPr>
                <w:rFonts w:ascii="Arial" w:hAnsi="Arial" w:cs="Arial"/>
                <w:sz w:val="22"/>
                <w:szCs w:val="22"/>
              </w:rPr>
              <w:t>Act quickly and intervene at the point a need is identified.</w:t>
            </w:r>
          </w:p>
          <w:p w14:paraId="4A4DC1C5" w14:textId="77777777" w:rsidR="00CA6E89" w:rsidRPr="00485F8F" w:rsidRDefault="00CA6E89" w:rsidP="00485F8F">
            <w:pPr>
              <w:pStyle w:val="NormalWeb"/>
              <w:numPr>
                <w:ilvl w:val="0"/>
                <w:numId w:val="20"/>
              </w:numPr>
              <w:jc w:val="both"/>
              <w:rPr>
                <w:rFonts w:ascii="Arial" w:hAnsi="Arial" w:cs="Arial"/>
                <w:sz w:val="22"/>
                <w:szCs w:val="22"/>
              </w:rPr>
            </w:pPr>
            <w:r w:rsidRPr="00485F8F">
              <w:rPr>
                <w:rFonts w:ascii="Arial" w:hAnsi="Arial" w:cs="Arial"/>
                <w:sz w:val="22"/>
                <w:szCs w:val="22"/>
              </w:rPr>
              <w:t>Adopt a whole-school approach, where all staff take collective responsibility for the outcomes of disadvantaged pupils.</w:t>
            </w:r>
          </w:p>
          <w:p w14:paraId="240F8CE4" w14:textId="77777777" w:rsidR="00CA6E89" w:rsidRPr="00485F8F" w:rsidRDefault="00CA6E89" w:rsidP="00485F8F">
            <w:pPr>
              <w:pStyle w:val="NormalWeb"/>
              <w:jc w:val="both"/>
              <w:rPr>
                <w:rFonts w:ascii="Arial" w:hAnsi="Arial" w:cs="Arial"/>
                <w:sz w:val="22"/>
                <w:szCs w:val="22"/>
              </w:rPr>
            </w:pPr>
            <w:r w:rsidRPr="00485F8F">
              <w:rPr>
                <w:rFonts w:ascii="Arial" w:hAnsi="Arial" w:cs="Arial"/>
                <w:sz w:val="22"/>
                <w:szCs w:val="22"/>
              </w:rPr>
              <w:t>Through this strategy, we aim not only to narrow academic gaps in writing and maths but also to reduce the impact of non-academic barriers such as attendance, behaviour, and SEMH, enabling all pupils at Cotton End Forest School to succeed.</w:t>
            </w:r>
          </w:p>
          <w:p w14:paraId="2A7D54E9" w14:textId="59FC958B" w:rsidR="00703077" w:rsidRPr="00E948E5" w:rsidRDefault="00703077" w:rsidP="00703077">
            <w:pPr>
              <w:rPr>
                <w:iCs/>
                <w:sz w:val="22"/>
                <w:szCs w:val="22"/>
              </w:rPr>
            </w:pPr>
          </w:p>
        </w:tc>
      </w:tr>
    </w:tbl>
    <w:p w14:paraId="08F87239" w14:textId="77777777" w:rsidR="00590CE9" w:rsidRDefault="00590CE9">
      <w:pPr>
        <w:pStyle w:val="Heading2"/>
        <w:spacing w:before="600"/>
        <w:rPr>
          <w:sz w:val="22"/>
          <w:szCs w:val="22"/>
        </w:rPr>
      </w:pPr>
    </w:p>
    <w:p w14:paraId="2A7D54EB" w14:textId="5EC364A2" w:rsidR="00E66558" w:rsidRPr="00E948E5" w:rsidRDefault="009D71E8">
      <w:pPr>
        <w:pStyle w:val="Heading2"/>
        <w:spacing w:before="600"/>
        <w:rPr>
          <w:sz w:val="22"/>
          <w:szCs w:val="22"/>
        </w:rPr>
      </w:pPr>
      <w:r w:rsidRPr="00E948E5">
        <w:rPr>
          <w:sz w:val="22"/>
          <w:szCs w:val="22"/>
        </w:rPr>
        <w:t>Challenges</w:t>
      </w:r>
    </w:p>
    <w:p w14:paraId="2A7D54EC" w14:textId="77777777" w:rsidR="00E66558" w:rsidRPr="00E948E5" w:rsidRDefault="009D71E8">
      <w:pPr>
        <w:spacing w:before="120" w:line="240" w:lineRule="auto"/>
        <w:textAlignment w:val="baseline"/>
        <w:outlineLvl w:val="0"/>
        <w:rPr>
          <w:sz w:val="22"/>
          <w:szCs w:val="22"/>
        </w:rPr>
      </w:pPr>
      <w:r w:rsidRPr="00E948E5">
        <w:rPr>
          <w:bCs/>
          <w:color w:val="auto"/>
          <w:sz w:val="22"/>
          <w:szCs w:val="22"/>
        </w:rPr>
        <w:t>This details</w:t>
      </w:r>
      <w:r w:rsidRPr="00E948E5">
        <w:rPr>
          <w:color w:val="auto"/>
          <w:sz w:val="22"/>
          <w:szCs w:val="22"/>
        </w:rPr>
        <w:t xml:space="preserve"> the key</w:t>
      </w:r>
      <w:r w:rsidRPr="00E948E5">
        <w:rPr>
          <w:bCs/>
          <w:color w:val="auto"/>
          <w:sz w:val="22"/>
          <w:szCs w:val="22"/>
        </w:rPr>
        <w:t xml:space="preserve"> </w:t>
      </w:r>
      <w:r w:rsidRPr="00E948E5">
        <w:rPr>
          <w:color w:val="auto"/>
          <w:sz w:val="22"/>
          <w:szCs w:val="22"/>
        </w:rPr>
        <w:t xml:space="preserve">challenges to </w:t>
      </w:r>
      <w:r w:rsidRPr="00E948E5">
        <w:rPr>
          <w:bCs/>
          <w:color w:val="auto"/>
          <w:sz w:val="22"/>
          <w:szCs w:val="22"/>
        </w:rPr>
        <w:t>achievement that we have</w:t>
      </w:r>
      <w:r w:rsidRPr="00E948E5">
        <w:rPr>
          <w:color w:val="auto"/>
          <w:sz w:val="22"/>
          <w:szCs w:val="22"/>
        </w:rPr>
        <w:t xml:space="preserve"> identified among </w:t>
      </w:r>
      <w:r w:rsidRPr="00E948E5">
        <w:rPr>
          <w:bCs/>
          <w:color w:val="auto"/>
          <w:sz w:val="22"/>
          <w:szCs w:val="22"/>
        </w:rPr>
        <w:t>our</w:t>
      </w:r>
      <w:r w:rsidRPr="00E948E5">
        <w:rPr>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948E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E948E5" w:rsidRDefault="009D71E8">
            <w:pPr>
              <w:pStyle w:val="TableHeader"/>
              <w:jc w:val="left"/>
              <w:rPr>
                <w:sz w:val="22"/>
                <w:szCs w:val="22"/>
              </w:rPr>
            </w:pPr>
            <w:r w:rsidRPr="00E948E5">
              <w:rPr>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E948E5" w:rsidRDefault="009D71E8">
            <w:pPr>
              <w:pStyle w:val="TableHeader"/>
              <w:jc w:val="left"/>
              <w:rPr>
                <w:sz w:val="22"/>
                <w:szCs w:val="22"/>
              </w:rPr>
            </w:pPr>
            <w:r w:rsidRPr="00E948E5">
              <w:rPr>
                <w:sz w:val="22"/>
                <w:szCs w:val="22"/>
              </w:rPr>
              <w:t xml:space="preserve">Detail of challenge </w:t>
            </w:r>
          </w:p>
        </w:tc>
      </w:tr>
      <w:tr w:rsidR="00E66558" w:rsidRPr="00E948E5"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948E5" w:rsidRDefault="009D71E8">
            <w:pPr>
              <w:pStyle w:val="TableRow"/>
              <w:rPr>
                <w:sz w:val="22"/>
                <w:szCs w:val="22"/>
              </w:rPr>
            </w:pPr>
            <w:r w:rsidRPr="00E948E5">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F2E499A" w:rsidR="00E66558" w:rsidRPr="00927E0C" w:rsidRDefault="00CF53E5">
            <w:pPr>
              <w:pStyle w:val="TableRowCentered"/>
              <w:jc w:val="left"/>
              <w:rPr>
                <w:sz w:val="22"/>
                <w:szCs w:val="22"/>
              </w:rPr>
            </w:pPr>
            <w:r w:rsidRPr="00927E0C">
              <w:rPr>
                <w:sz w:val="22"/>
                <w:szCs w:val="22"/>
              </w:rPr>
              <w:t>Disadvantaged pupils have lower attendance than their peers, which reduces the amount of learning time they access and impacts their progress across all subjects.</w:t>
            </w:r>
          </w:p>
        </w:tc>
      </w:tr>
      <w:tr w:rsidR="00E66558" w:rsidRPr="00E948E5"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948E5" w:rsidRDefault="009D71E8">
            <w:pPr>
              <w:pStyle w:val="TableRow"/>
              <w:rPr>
                <w:sz w:val="22"/>
                <w:szCs w:val="22"/>
              </w:rPr>
            </w:pPr>
            <w:r w:rsidRPr="00E948E5">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BACFEB0" w:rsidR="00E66558" w:rsidRPr="00927E0C" w:rsidRDefault="004C117C">
            <w:pPr>
              <w:pStyle w:val="TableRowCentered"/>
              <w:jc w:val="left"/>
              <w:rPr>
                <w:sz w:val="22"/>
                <w:szCs w:val="22"/>
              </w:rPr>
            </w:pPr>
            <w:r w:rsidRPr="00927E0C">
              <w:rPr>
                <w:sz w:val="22"/>
                <w:szCs w:val="22"/>
              </w:rPr>
              <w:t>Pupil Premium children enter Key Stage 1 with lower early literacy, communication</w:t>
            </w:r>
            <w:r w:rsidR="004315D2">
              <w:rPr>
                <w:sz w:val="22"/>
                <w:szCs w:val="22"/>
              </w:rPr>
              <w:t xml:space="preserve"> </w:t>
            </w:r>
            <w:r w:rsidRPr="00927E0C">
              <w:rPr>
                <w:sz w:val="22"/>
                <w:szCs w:val="22"/>
              </w:rPr>
              <w:t>and numeracy skills, as reflected in the significant gap in Good Level of Development (GLD) outcomes.</w:t>
            </w:r>
          </w:p>
        </w:tc>
      </w:tr>
      <w:tr w:rsidR="00E66558" w:rsidRPr="00E948E5"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948E5" w:rsidRDefault="009D71E8">
            <w:pPr>
              <w:pStyle w:val="TableRow"/>
              <w:rPr>
                <w:sz w:val="22"/>
                <w:szCs w:val="22"/>
              </w:rPr>
            </w:pPr>
            <w:r w:rsidRPr="00E948E5">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6B35A9C" w:rsidR="00E66558" w:rsidRPr="00927E0C" w:rsidRDefault="00927E0C">
            <w:pPr>
              <w:pStyle w:val="TableRowCentered"/>
              <w:jc w:val="left"/>
              <w:rPr>
                <w:sz w:val="22"/>
                <w:szCs w:val="22"/>
              </w:rPr>
            </w:pPr>
            <w:r w:rsidRPr="00927E0C">
              <w:rPr>
                <w:sz w:val="22"/>
                <w:szCs w:val="22"/>
              </w:rPr>
              <w:t>Pupil Premium pupils have lower attainment in phonics in Year 1 and Year 2, limiting fluency, decoding skills and confidence in reading, which in turn affects progress in reading comprehension and writing.</w:t>
            </w:r>
          </w:p>
        </w:tc>
      </w:tr>
      <w:tr w:rsidR="00E66558" w:rsidRPr="00E948E5"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E948E5" w:rsidRDefault="009D71E8">
            <w:pPr>
              <w:pStyle w:val="TableRow"/>
              <w:rPr>
                <w:sz w:val="22"/>
                <w:szCs w:val="22"/>
              </w:rPr>
            </w:pPr>
            <w:r w:rsidRPr="00E948E5">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9A8071C" w:rsidR="00E66558" w:rsidRPr="00927E0C" w:rsidRDefault="00927E0C">
            <w:pPr>
              <w:pStyle w:val="TableRowCentered"/>
              <w:jc w:val="left"/>
              <w:rPr>
                <w:iCs/>
                <w:sz w:val="22"/>
                <w:szCs w:val="22"/>
              </w:rPr>
            </w:pPr>
            <w:r w:rsidRPr="00927E0C">
              <w:rPr>
                <w:sz w:val="22"/>
                <w:szCs w:val="22"/>
              </w:rPr>
              <w:t>Disadvantaged pupils consistently perform below their peers in mathematics across Key Stage 1 and Key Stage 2, including in the Multiplication Tables Check, which impacts their fluency, reasoning and problem-solving skills.</w:t>
            </w:r>
          </w:p>
        </w:tc>
      </w:tr>
      <w:tr w:rsidR="00E66558" w:rsidRPr="00E948E5"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E948E5" w:rsidRDefault="009D71E8">
            <w:pPr>
              <w:pStyle w:val="TableRow"/>
              <w:rPr>
                <w:sz w:val="22"/>
                <w:szCs w:val="22"/>
              </w:rPr>
            </w:pPr>
            <w:bookmarkStart w:id="16" w:name="_Toc443397160"/>
            <w:r w:rsidRPr="00E948E5">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E25A159" w:rsidR="00E66558" w:rsidRPr="00927E0C" w:rsidRDefault="00927E0C">
            <w:pPr>
              <w:pStyle w:val="TableRowCentered"/>
              <w:jc w:val="left"/>
              <w:rPr>
                <w:iCs/>
                <w:sz w:val="22"/>
                <w:szCs w:val="22"/>
              </w:rPr>
            </w:pPr>
            <w:r w:rsidRPr="00927E0C">
              <w:rPr>
                <w:sz w:val="22"/>
                <w:szCs w:val="22"/>
              </w:rPr>
              <w:t>Writing attainment for Pupil Premium pupils is lower than their peers across Years 1 to 5, with gaps in grammar, spelling, vocabulary and sustained independent writing.</w:t>
            </w:r>
          </w:p>
        </w:tc>
      </w:tr>
      <w:tr w:rsidR="00533893" w:rsidRPr="00E948E5" w14:paraId="02C2C9F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4844" w14:textId="7EDDFEA8" w:rsidR="00533893" w:rsidRPr="00E948E5" w:rsidRDefault="003734CB">
            <w:pPr>
              <w:pStyle w:val="TableRow"/>
              <w:rPr>
                <w:sz w:val="22"/>
                <w:szCs w:val="22"/>
              </w:rPr>
            </w:pPr>
            <w:r w:rsidRPr="00E948E5">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3624" w14:textId="04ABCDEB" w:rsidR="00533893" w:rsidRPr="00927E0C" w:rsidRDefault="00927E0C">
            <w:pPr>
              <w:pStyle w:val="TableRowCentered"/>
              <w:jc w:val="left"/>
              <w:rPr>
                <w:iCs/>
                <w:sz w:val="22"/>
                <w:szCs w:val="22"/>
              </w:rPr>
            </w:pPr>
            <w:r w:rsidRPr="00927E0C">
              <w:rPr>
                <w:sz w:val="22"/>
                <w:szCs w:val="22"/>
              </w:rPr>
              <w:t>Pupil Premium pupils make less progress in reading across Key Stages 1 and 2, which affects comprehension, access to the wider curriculum and subsequent progress in other subjects.</w:t>
            </w:r>
          </w:p>
        </w:tc>
      </w:tr>
      <w:tr w:rsidR="00C93C00" w:rsidRPr="00E948E5" w14:paraId="360600B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8E74" w14:textId="1F5596FD" w:rsidR="00C93C00" w:rsidRPr="00E948E5" w:rsidRDefault="00C93C00">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EE1B7" w14:textId="14298E8A" w:rsidR="00C93C00" w:rsidRPr="00C93C00" w:rsidRDefault="00C93C00">
            <w:pPr>
              <w:pStyle w:val="TableRowCentered"/>
              <w:jc w:val="left"/>
              <w:rPr>
                <w:sz w:val="22"/>
                <w:szCs w:val="22"/>
              </w:rPr>
            </w:pPr>
            <w:r w:rsidRPr="00C93C00">
              <w:rPr>
                <w:sz w:val="22"/>
                <w:szCs w:val="22"/>
              </w:rPr>
              <w:t>29% of Pupil Premium pupils required mental health intervention support in 2024/25. SEMH needs and related behaviour difficulties present barriers to learning, engagement and attendance.</w:t>
            </w:r>
          </w:p>
        </w:tc>
      </w:tr>
    </w:tbl>
    <w:p w14:paraId="2A7D54FF" w14:textId="77777777" w:rsidR="00E66558" w:rsidRPr="00E948E5" w:rsidRDefault="009D71E8">
      <w:pPr>
        <w:pStyle w:val="Heading2"/>
        <w:spacing w:before="600"/>
        <w:rPr>
          <w:sz w:val="22"/>
          <w:szCs w:val="22"/>
        </w:rPr>
      </w:pPr>
      <w:r w:rsidRPr="00E948E5">
        <w:rPr>
          <w:sz w:val="22"/>
          <w:szCs w:val="22"/>
        </w:rPr>
        <w:t xml:space="preserve">Intended outcomes </w:t>
      </w:r>
    </w:p>
    <w:p w14:paraId="2A7D5500" w14:textId="77777777" w:rsidR="00E66558" w:rsidRPr="00E948E5" w:rsidRDefault="009D71E8">
      <w:pPr>
        <w:rPr>
          <w:sz w:val="22"/>
          <w:szCs w:val="22"/>
        </w:rPr>
      </w:pPr>
      <w:r w:rsidRPr="00E948E5">
        <w:rPr>
          <w:color w:val="auto"/>
          <w:sz w:val="22"/>
          <w:szCs w:val="22"/>
        </w:rPr>
        <w:t xml:space="preserve">This explains the outcomes we are aiming for </w:t>
      </w:r>
      <w:r w:rsidRPr="00E948E5">
        <w:rPr>
          <w:b/>
          <w:bCs/>
          <w:color w:val="auto"/>
          <w:sz w:val="22"/>
          <w:szCs w:val="22"/>
        </w:rPr>
        <w:t>by the end of our current strategy plan</w:t>
      </w:r>
      <w:r w:rsidRPr="00E948E5">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948E5"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E948E5" w:rsidRDefault="009D71E8">
            <w:pPr>
              <w:pStyle w:val="TableHeader"/>
              <w:jc w:val="left"/>
              <w:rPr>
                <w:sz w:val="22"/>
                <w:szCs w:val="22"/>
              </w:rPr>
            </w:pPr>
            <w:r w:rsidRPr="00E948E5">
              <w:rPr>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E948E5" w:rsidRDefault="009D71E8">
            <w:pPr>
              <w:pStyle w:val="TableHeader"/>
              <w:jc w:val="left"/>
              <w:rPr>
                <w:sz w:val="22"/>
                <w:szCs w:val="22"/>
              </w:rPr>
            </w:pPr>
            <w:r w:rsidRPr="00E948E5">
              <w:rPr>
                <w:sz w:val="22"/>
                <w:szCs w:val="22"/>
              </w:rPr>
              <w:t>Success criteria</w:t>
            </w:r>
          </w:p>
        </w:tc>
      </w:tr>
      <w:tr w:rsidR="00E66558" w:rsidRPr="00E948E5"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0748B20" w:rsidR="00E66558" w:rsidRPr="00C93C00" w:rsidRDefault="00C93C00">
            <w:pPr>
              <w:pStyle w:val="TableRow"/>
              <w:rPr>
                <w:rFonts w:cs="Arial"/>
                <w:sz w:val="22"/>
                <w:szCs w:val="22"/>
              </w:rPr>
            </w:pPr>
            <w:r w:rsidRPr="00C93C00">
              <w:rPr>
                <w:rFonts w:cs="Arial"/>
                <w:sz w:val="22"/>
                <w:szCs w:val="22"/>
              </w:rPr>
              <w:t>To support disadvantaged children to make accelerated progress in phonics and early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3A470" w14:textId="77777777" w:rsidR="00C93C00" w:rsidRDefault="00C93C00" w:rsidP="00C93C00">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Pupils will make accelerated progress in phonics and early reading towards end of year expectations.</w:t>
            </w:r>
          </w:p>
          <w:p w14:paraId="7F749B3E" w14:textId="24C3DE4B" w:rsidR="00C93C00" w:rsidRPr="00C93C00" w:rsidRDefault="00C93C00" w:rsidP="00C93C00">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The gap between Pupil Premium and non-Pupil Premium pupils will narrow at both Year 1 and Year 2.</w:t>
            </w:r>
          </w:p>
          <w:p w14:paraId="37749468" w14:textId="13F80A53" w:rsidR="00C93C00" w:rsidRPr="00C93C00" w:rsidRDefault="00C93C00" w:rsidP="00C93C00">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lastRenderedPageBreak/>
              <w:t>Attainment for disadvantaged pupils will move closer to or at least in line with national averages.</w:t>
            </w:r>
          </w:p>
          <w:p w14:paraId="2A7D5505" w14:textId="4B2378DB" w:rsidR="006273F3" w:rsidRPr="00C34F0E" w:rsidRDefault="00C93C00" w:rsidP="00C34F0E">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Phonics outcomes in 2025/26 will show a higher proportion of disadvantaged pupils meeting the expected standard than in 2024/25.</w:t>
            </w:r>
          </w:p>
        </w:tc>
      </w:tr>
      <w:tr w:rsidR="00E66558" w:rsidRPr="00E948E5"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2753D3F" w:rsidR="00E66558" w:rsidRPr="00C93C00" w:rsidRDefault="00C93C00">
            <w:pPr>
              <w:pStyle w:val="TableRow"/>
              <w:rPr>
                <w:rFonts w:cs="Arial"/>
                <w:sz w:val="22"/>
                <w:szCs w:val="22"/>
              </w:rPr>
            </w:pPr>
            <w:r w:rsidRPr="00C93C00">
              <w:rPr>
                <w:rFonts w:cs="Arial"/>
                <w:sz w:val="22"/>
                <w:szCs w:val="22"/>
              </w:rPr>
              <w:lastRenderedPageBreak/>
              <w:t>To improve attainment and progress in reading, writing</w:t>
            </w:r>
            <w:r w:rsidR="00F4135A">
              <w:rPr>
                <w:rFonts w:cs="Arial"/>
                <w:sz w:val="22"/>
                <w:szCs w:val="22"/>
              </w:rPr>
              <w:t xml:space="preserve"> </w:t>
            </w:r>
            <w:r w:rsidRPr="00C93C00">
              <w:rPr>
                <w:rFonts w:cs="Arial"/>
                <w:sz w:val="22"/>
                <w:szCs w:val="22"/>
              </w:rPr>
              <w:t>and maths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8CC7" w14:textId="402ED1BD" w:rsidR="00C93C00" w:rsidRPr="00C93C00" w:rsidRDefault="00C93C00" w:rsidP="00C93C00">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Disadvantaged pupils will make accelerated progress in reading, writing, and maths across Key Stages 1 and 2.</w:t>
            </w:r>
          </w:p>
          <w:p w14:paraId="0FDB72EE" w14:textId="35E48ED6" w:rsidR="00C93C00" w:rsidRPr="00C93C00" w:rsidRDefault="00C93C00" w:rsidP="00C93C00">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The gap between Pupil Premium and non-Pupil Premium pupils will narrow across all year groups, particularly Years 2–6.</w:t>
            </w:r>
          </w:p>
          <w:p w14:paraId="70D4D69F" w14:textId="74C8E0DA" w:rsidR="00C93C00" w:rsidRPr="00C93C00" w:rsidRDefault="00C93C00" w:rsidP="00C93C00">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Attainment for disadvantaged pupils will be closer to, or at least in line with, national outcomes.</w:t>
            </w:r>
          </w:p>
          <w:p w14:paraId="2A7D5508" w14:textId="23D8B1A3" w:rsidR="006273F3" w:rsidRPr="00C34F0E" w:rsidRDefault="00C93C00" w:rsidP="00C34F0E">
            <w:pPr>
              <w:suppressAutoHyphens w:val="0"/>
              <w:autoSpaceDN/>
              <w:spacing w:before="100" w:beforeAutospacing="1" w:after="100" w:afterAutospacing="1" w:line="240" w:lineRule="auto"/>
              <w:rPr>
                <w:rFonts w:cs="Arial"/>
                <w:color w:val="auto"/>
                <w:sz w:val="22"/>
                <w:szCs w:val="22"/>
              </w:rPr>
            </w:pPr>
            <w:r w:rsidRPr="00C93C00">
              <w:rPr>
                <w:rFonts w:cs="Arial"/>
                <w:color w:val="auto"/>
                <w:sz w:val="22"/>
                <w:szCs w:val="22"/>
              </w:rPr>
              <w:t>KS2 combined outcomes (reading, writing, and maths) in 2025/26 will show an increase in the percentage of disadvantaged pupils achieving the expected standard compared to 2024/25.</w:t>
            </w:r>
          </w:p>
        </w:tc>
      </w:tr>
      <w:tr w:rsidR="00E66558" w:rsidRPr="00E948E5"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4A6" w14:textId="77777777"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bCs/>
                <w:color w:val="auto"/>
                <w:sz w:val="22"/>
                <w:szCs w:val="22"/>
              </w:rPr>
              <w:t>To raise outcomes for disadvantaged pupils in the Early Years Foundation Stage.</w:t>
            </w:r>
          </w:p>
          <w:p w14:paraId="00A91365" w14:textId="77777777" w:rsidR="00C34F0E" w:rsidRPr="00C34F0E" w:rsidRDefault="00C34F0E" w:rsidP="00C34F0E">
            <w:pPr>
              <w:suppressAutoHyphens w:val="0"/>
              <w:autoSpaceDN/>
              <w:spacing w:beforeAutospacing="1" w:after="0" w:afterAutospacing="1" w:line="240" w:lineRule="auto"/>
              <w:ind w:left="720"/>
              <w:rPr>
                <w:rFonts w:cs="Arial"/>
                <w:color w:val="auto"/>
                <w:sz w:val="22"/>
                <w:szCs w:val="22"/>
              </w:rPr>
            </w:pPr>
          </w:p>
          <w:p w14:paraId="2A7D550A" w14:textId="68FA0234" w:rsidR="00E66558" w:rsidRPr="00C34F0E" w:rsidRDefault="00E66558">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75F7" w14:textId="5C8F3F41"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The proportion of disadvantaged pupils achieving a Good Level of Development (GLD) will increase year on year.</w:t>
            </w:r>
          </w:p>
          <w:p w14:paraId="1DE74087" w14:textId="4B8C1F38"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The gap between disadvantaged pupils and their peers in GLD will narrow.</w:t>
            </w:r>
          </w:p>
          <w:p w14:paraId="4BA32C92" w14:textId="0A93E6EE"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Disadvantaged pupils will leave EYFS better prepared to access the KS1 curriculum.</w:t>
            </w:r>
          </w:p>
          <w:p w14:paraId="2A7D550B" w14:textId="7159AA0F" w:rsidR="00326272" w:rsidRPr="00C34F0E" w:rsidRDefault="00326272" w:rsidP="00C34F0E">
            <w:pPr>
              <w:pStyle w:val="TableRowCentered"/>
              <w:jc w:val="left"/>
              <w:rPr>
                <w:rFonts w:cs="Arial"/>
                <w:sz w:val="22"/>
                <w:szCs w:val="22"/>
              </w:rPr>
            </w:pPr>
          </w:p>
        </w:tc>
      </w:tr>
      <w:tr w:rsidR="00E66558" w:rsidRPr="00E948E5"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AB922AD" w:rsidR="00E66558" w:rsidRPr="00C34F0E" w:rsidRDefault="00C34F0E">
            <w:pPr>
              <w:pStyle w:val="TableRow"/>
              <w:rPr>
                <w:rFonts w:cs="Arial"/>
                <w:sz w:val="22"/>
                <w:szCs w:val="22"/>
              </w:rPr>
            </w:pPr>
            <w:r w:rsidRPr="00C34F0E">
              <w:rPr>
                <w:rFonts w:cs="Arial"/>
                <w:sz w:val="22"/>
                <w:szCs w:val="22"/>
              </w:rPr>
              <w:t>To achieve and sustain improved wellbeing for all pupils,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F5BF7" w14:textId="1D5814A0"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SEMH needs of disadvantaged pupils will be met through timely intervention and targeted support.</w:t>
            </w:r>
          </w:p>
          <w:p w14:paraId="1FD7FCAE" w14:textId="43FB5E29"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Clear pathways to internal and external support for pupils and families will be in place and used effectively.</w:t>
            </w:r>
          </w:p>
          <w:p w14:paraId="3C05730E" w14:textId="177577AE"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A reduction in SEMH-related behaviour incidents will be evident, sustained by 2025/26.</w:t>
            </w:r>
          </w:p>
          <w:p w14:paraId="2A7D550E" w14:textId="194E0745" w:rsidR="006273F3"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Pupil voice surveys will show improved confidence, resilience and engagement for disadvantaged pupils.</w:t>
            </w:r>
          </w:p>
        </w:tc>
      </w:tr>
      <w:tr w:rsidR="00C34F0E" w:rsidRPr="00E948E5" w14:paraId="583703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6AE7" w14:textId="459B2927" w:rsidR="00C34F0E" w:rsidRPr="00C34F0E" w:rsidRDefault="00C34F0E">
            <w:pPr>
              <w:pStyle w:val="TableRow"/>
              <w:rPr>
                <w:rFonts w:cs="Arial"/>
                <w:sz w:val="22"/>
                <w:szCs w:val="22"/>
              </w:rPr>
            </w:pPr>
            <w:r w:rsidRPr="00C34F0E">
              <w:rPr>
                <w:rFonts w:cs="Arial"/>
                <w:sz w:val="22"/>
                <w:szCs w:val="22"/>
              </w:rPr>
              <w:lastRenderedPageBreak/>
              <w:t>To achieve and sustain improved attendance for all pupils,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1894" w14:textId="51367754"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Attendance Lead will identify and track pupils and families in need of support, including persistent absentees.</w:t>
            </w:r>
          </w:p>
          <w:p w14:paraId="566FA694" w14:textId="1F92BDCA"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Family Support Worker and SLT will identify and address barriers to attendance and punctuality.</w:t>
            </w:r>
          </w:p>
          <w:p w14:paraId="14565A2E" w14:textId="2CAC3C6E"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Disadvantaged pupils’ attendance will improve and be in line with national benchmarks, sustained by 2025/26.</w:t>
            </w:r>
          </w:p>
          <w:p w14:paraId="4FCE4517" w14:textId="1474E0C1"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r w:rsidRPr="00C34F0E">
              <w:rPr>
                <w:rFonts w:cs="Arial"/>
                <w:color w:val="auto"/>
                <w:sz w:val="22"/>
                <w:szCs w:val="22"/>
              </w:rPr>
              <w:t>Persistent absence among disadvantaged pupils will reduce year on year.</w:t>
            </w:r>
          </w:p>
          <w:p w14:paraId="7D62F3FC" w14:textId="77777777" w:rsidR="00C34F0E" w:rsidRPr="00C34F0E" w:rsidRDefault="00C34F0E" w:rsidP="00C34F0E">
            <w:pPr>
              <w:suppressAutoHyphens w:val="0"/>
              <w:autoSpaceDN/>
              <w:spacing w:before="100" w:beforeAutospacing="1" w:after="100" w:afterAutospacing="1" w:line="240" w:lineRule="auto"/>
              <w:rPr>
                <w:rFonts w:cs="Arial"/>
                <w:color w:val="auto"/>
                <w:sz w:val="22"/>
                <w:szCs w:val="22"/>
              </w:rPr>
            </w:pPr>
          </w:p>
        </w:tc>
      </w:tr>
    </w:tbl>
    <w:p w14:paraId="60BAD9F6" w14:textId="77777777" w:rsidR="00120AB1" w:rsidRPr="00E948E5" w:rsidRDefault="00120AB1">
      <w:pPr>
        <w:pStyle w:val="Heading2"/>
        <w:rPr>
          <w:sz w:val="22"/>
          <w:szCs w:val="22"/>
        </w:rPr>
      </w:pPr>
    </w:p>
    <w:p w14:paraId="2A06959E" w14:textId="77777777" w:rsidR="00120AB1" w:rsidRPr="00E948E5" w:rsidRDefault="00120AB1">
      <w:pPr>
        <w:suppressAutoHyphens w:val="0"/>
        <w:spacing w:after="0" w:line="240" w:lineRule="auto"/>
        <w:rPr>
          <w:b/>
          <w:color w:val="104F75"/>
          <w:sz w:val="22"/>
          <w:szCs w:val="22"/>
        </w:rPr>
      </w:pPr>
      <w:r w:rsidRPr="00E948E5">
        <w:rPr>
          <w:sz w:val="22"/>
          <w:szCs w:val="22"/>
        </w:rPr>
        <w:br w:type="page"/>
      </w:r>
    </w:p>
    <w:p w14:paraId="2A7D5512" w14:textId="7B489199" w:rsidR="00E66558" w:rsidRPr="00E948E5" w:rsidRDefault="009D71E8">
      <w:pPr>
        <w:pStyle w:val="Heading2"/>
        <w:rPr>
          <w:sz w:val="22"/>
          <w:szCs w:val="22"/>
        </w:rPr>
      </w:pPr>
      <w:r w:rsidRPr="00E948E5">
        <w:rPr>
          <w:sz w:val="22"/>
          <w:szCs w:val="22"/>
        </w:rPr>
        <w:lastRenderedPageBreak/>
        <w:t>Activity in this academic year</w:t>
      </w:r>
    </w:p>
    <w:p w14:paraId="2A7D5513" w14:textId="77777777" w:rsidR="00E66558" w:rsidRPr="00E948E5" w:rsidRDefault="009D71E8">
      <w:pPr>
        <w:spacing w:after="480"/>
        <w:rPr>
          <w:sz w:val="22"/>
          <w:szCs w:val="22"/>
        </w:rPr>
      </w:pPr>
      <w:r w:rsidRPr="00E948E5">
        <w:rPr>
          <w:sz w:val="22"/>
          <w:szCs w:val="22"/>
        </w:rPr>
        <w:t xml:space="preserve">This details how we intend to spend our pupil premium (and recovery premium funding) </w:t>
      </w:r>
      <w:r w:rsidRPr="00E948E5">
        <w:rPr>
          <w:b/>
          <w:bCs/>
          <w:sz w:val="22"/>
          <w:szCs w:val="22"/>
        </w:rPr>
        <w:t>this academic year</w:t>
      </w:r>
      <w:r w:rsidRPr="00E948E5">
        <w:rPr>
          <w:sz w:val="22"/>
          <w:szCs w:val="22"/>
        </w:rPr>
        <w:t xml:space="preserve"> to address the challenges listed above.</w:t>
      </w:r>
    </w:p>
    <w:p w14:paraId="2A7D5514" w14:textId="77777777" w:rsidR="00E66558" w:rsidRPr="00E948E5" w:rsidRDefault="009D71E8">
      <w:pPr>
        <w:pStyle w:val="Heading3"/>
        <w:rPr>
          <w:sz w:val="22"/>
          <w:szCs w:val="22"/>
        </w:rPr>
      </w:pPr>
      <w:r w:rsidRPr="00E948E5">
        <w:rPr>
          <w:sz w:val="22"/>
          <w:szCs w:val="22"/>
        </w:rPr>
        <w:t>Teaching (for example, CPD, recruitment and retention)</w:t>
      </w:r>
    </w:p>
    <w:p w14:paraId="2A7D5515" w14:textId="0CAE080C" w:rsidR="00E66558" w:rsidRPr="001315AB" w:rsidRDefault="009D71E8">
      <w:pPr>
        <w:rPr>
          <w:color w:val="0070C0"/>
          <w:sz w:val="22"/>
          <w:szCs w:val="22"/>
        </w:rPr>
      </w:pPr>
      <w:r w:rsidRPr="00E948E5">
        <w:rPr>
          <w:sz w:val="22"/>
          <w:szCs w:val="22"/>
        </w:rPr>
        <w:t xml:space="preserve">Budgeted cost: </w:t>
      </w:r>
      <w:r w:rsidR="00EF49DC">
        <w:rPr>
          <w:sz w:val="22"/>
          <w:szCs w:val="22"/>
        </w:rPr>
        <w:t>£30,300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E948E5"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E948E5" w:rsidRDefault="009D71E8">
            <w:pPr>
              <w:pStyle w:val="TableHeader"/>
              <w:jc w:val="left"/>
              <w:rPr>
                <w:sz w:val="22"/>
                <w:szCs w:val="22"/>
              </w:rPr>
            </w:pPr>
            <w:r w:rsidRPr="00E948E5">
              <w:rPr>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E948E5" w:rsidRDefault="009D71E8">
            <w:pPr>
              <w:pStyle w:val="TableHeader"/>
              <w:jc w:val="left"/>
              <w:rPr>
                <w:sz w:val="22"/>
                <w:szCs w:val="22"/>
              </w:rPr>
            </w:pPr>
            <w:r w:rsidRPr="00E948E5">
              <w:rPr>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E948E5" w:rsidRDefault="009D71E8">
            <w:pPr>
              <w:pStyle w:val="TableHeader"/>
              <w:jc w:val="left"/>
              <w:rPr>
                <w:sz w:val="22"/>
                <w:szCs w:val="22"/>
              </w:rPr>
            </w:pPr>
            <w:r w:rsidRPr="00E948E5">
              <w:rPr>
                <w:sz w:val="22"/>
                <w:szCs w:val="22"/>
              </w:rPr>
              <w:t>Challenge number(s) addressed</w:t>
            </w:r>
          </w:p>
        </w:tc>
      </w:tr>
      <w:tr w:rsidR="00E66558" w:rsidRPr="00BC470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898AD" w14:textId="77777777"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Enhance Phonics Teaching and Early Reading</w:t>
            </w:r>
          </w:p>
          <w:p w14:paraId="6255DCF8"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Investment in high-quality phonics training and resources across EYFS and KS1, with targeted catch-up support for KS2 pupils who did not meet the threshold.</w:t>
            </w:r>
          </w:p>
          <w:p w14:paraId="130AF1CF"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Regular staff CPD to ensure fidelity and consistency in delivery.</w:t>
            </w:r>
          </w:p>
          <w:p w14:paraId="2A7D551A" w14:textId="0F64727B" w:rsidR="00E66558" w:rsidRPr="00BC4704" w:rsidRDefault="00E66558">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EA59" w14:textId="77777777" w:rsidR="00ED0B9C" w:rsidRPr="00BC4704" w:rsidRDefault="00446511">
            <w:pPr>
              <w:pStyle w:val="TableRowCentered"/>
              <w:jc w:val="left"/>
              <w:rPr>
                <w:rFonts w:cs="Arial"/>
                <w:sz w:val="22"/>
                <w:szCs w:val="22"/>
              </w:rPr>
            </w:pPr>
            <w:r w:rsidRPr="00BC4704">
              <w:rPr>
                <w:rFonts w:cs="Arial"/>
                <w:sz w:val="22"/>
                <w:szCs w:val="22"/>
              </w:rPr>
              <w:t xml:space="preserve">The EEF highlights that phonics has a </w:t>
            </w:r>
            <w:r w:rsidRPr="00BC4704">
              <w:rPr>
                <w:rStyle w:val="Emphasis"/>
                <w:rFonts w:cs="Arial"/>
                <w:sz w:val="22"/>
                <w:szCs w:val="22"/>
              </w:rPr>
              <w:t>high impact for very low cost</w:t>
            </w:r>
            <w:r w:rsidRPr="00BC4704">
              <w:rPr>
                <w:rFonts w:cs="Arial"/>
                <w:sz w:val="22"/>
                <w:szCs w:val="22"/>
              </w:rPr>
              <w:t xml:space="preserve"> (around +5 months progress), particularly for younger pupils and those who are disadvantaged. Fidelity to a programme and high-quality CPD are key to success.</w:t>
            </w:r>
          </w:p>
          <w:p w14:paraId="23E9ECBF" w14:textId="77777777" w:rsidR="00834662" w:rsidRPr="00BC4704" w:rsidRDefault="00834662">
            <w:pPr>
              <w:pStyle w:val="TableRowCentered"/>
              <w:jc w:val="left"/>
              <w:rPr>
                <w:rFonts w:cs="Arial"/>
                <w:sz w:val="22"/>
                <w:szCs w:val="22"/>
              </w:rPr>
            </w:pPr>
          </w:p>
          <w:p w14:paraId="602C2EA1" w14:textId="77777777" w:rsidR="00834662" w:rsidRPr="00BC4704" w:rsidRDefault="00834662" w:rsidP="00834662">
            <w:pPr>
              <w:pStyle w:val="TableRowCentered"/>
              <w:jc w:val="left"/>
              <w:rPr>
                <w:rFonts w:cs="Arial"/>
                <w:sz w:val="22"/>
                <w:szCs w:val="22"/>
              </w:rPr>
            </w:pPr>
            <w:hyperlink r:id="rId8" w:history="1">
              <w:r w:rsidRPr="00BC4704">
                <w:rPr>
                  <w:rStyle w:val="Hyperlink"/>
                  <w:rFonts w:cs="Arial"/>
                  <w:sz w:val="22"/>
                  <w:szCs w:val="22"/>
                </w:rPr>
                <w:t>Small Group Tuition - EEF</w:t>
              </w:r>
            </w:hyperlink>
          </w:p>
          <w:p w14:paraId="1A05CF20" w14:textId="77777777" w:rsidR="00834662" w:rsidRPr="00BC4704" w:rsidRDefault="00834662" w:rsidP="00834662">
            <w:pPr>
              <w:pStyle w:val="TableRowCentered"/>
              <w:jc w:val="left"/>
              <w:rPr>
                <w:rFonts w:cs="Arial"/>
                <w:sz w:val="22"/>
                <w:szCs w:val="22"/>
              </w:rPr>
            </w:pPr>
          </w:p>
          <w:p w14:paraId="0B634D52" w14:textId="77777777" w:rsidR="00834662" w:rsidRPr="00BC4704" w:rsidRDefault="00834662" w:rsidP="00834662">
            <w:pPr>
              <w:pStyle w:val="TableRowCentered"/>
              <w:jc w:val="left"/>
              <w:rPr>
                <w:rStyle w:val="Hyperlink"/>
                <w:rFonts w:cs="Arial"/>
                <w:sz w:val="22"/>
                <w:szCs w:val="22"/>
              </w:rPr>
            </w:pPr>
            <w:hyperlink r:id="rId9" w:history="1">
              <w:r w:rsidRPr="00BC4704">
                <w:rPr>
                  <w:rStyle w:val="Hyperlink"/>
                  <w:rFonts w:cs="Arial"/>
                  <w:sz w:val="22"/>
                  <w:szCs w:val="22"/>
                </w:rPr>
                <w:t>One to One Tuition - EEF</w:t>
              </w:r>
            </w:hyperlink>
          </w:p>
          <w:p w14:paraId="5DFC2FB1" w14:textId="77777777" w:rsidR="00834662" w:rsidRPr="00BC4704" w:rsidRDefault="00834662" w:rsidP="00834662">
            <w:pPr>
              <w:pStyle w:val="TableRowCentered"/>
              <w:jc w:val="left"/>
              <w:rPr>
                <w:rFonts w:cs="Arial"/>
                <w:sz w:val="22"/>
                <w:szCs w:val="22"/>
              </w:rPr>
            </w:pPr>
          </w:p>
          <w:p w14:paraId="2A7D551B" w14:textId="2EBE783C" w:rsidR="00834662" w:rsidRPr="00BC4704" w:rsidRDefault="00834662" w:rsidP="00834662">
            <w:pPr>
              <w:pStyle w:val="TableRowCentered"/>
              <w:jc w:val="left"/>
              <w:rPr>
                <w:rFonts w:cs="Arial"/>
                <w:sz w:val="22"/>
                <w:szCs w:val="22"/>
              </w:rPr>
            </w:pPr>
            <w:hyperlink r:id="rId10" w:history="1">
              <w:r w:rsidRPr="00BC4704">
                <w:rPr>
                  <w:rStyle w:val="Hyperlink"/>
                  <w:rFonts w:cs="Arial"/>
                  <w:sz w:val="22"/>
                  <w:szCs w:val="22"/>
                </w:rPr>
                <w:t>Phonics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CE88016" w:rsidR="00E66558" w:rsidRPr="00BC4704" w:rsidRDefault="000F568C">
            <w:pPr>
              <w:pStyle w:val="TableRowCentered"/>
              <w:jc w:val="left"/>
              <w:rPr>
                <w:rFonts w:cs="Arial"/>
                <w:sz w:val="22"/>
                <w:szCs w:val="22"/>
              </w:rPr>
            </w:pPr>
            <w:r w:rsidRPr="00BC4704">
              <w:rPr>
                <w:rFonts w:cs="Arial"/>
                <w:sz w:val="22"/>
                <w:szCs w:val="22"/>
              </w:rPr>
              <w:t xml:space="preserve">1, </w:t>
            </w:r>
            <w:r w:rsidR="00446511" w:rsidRPr="00BC4704">
              <w:rPr>
                <w:rFonts w:cs="Arial"/>
                <w:sz w:val="22"/>
                <w:szCs w:val="22"/>
              </w:rPr>
              <w:t>3, 4</w:t>
            </w:r>
          </w:p>
        </w:tc>
      </w:tr>
      <w:tr w:rsidR="00C81622" w:rsidRPr="00BC4704" w14:paraId="736950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D0E6" w14:textId="77777777"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Strengthen Early Years Teaching to Raise GLD Outcomes</w:t>
            </w:r>
          </w:p>
          <w:p w14:paraId="45FDEC68" w14:textId="6179B250"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Focused CPD for EYFS staff on language-rich environments, early writing and number sense.</w:t>
            </w:r>
          </w:p>
          <w:p w14:paraId="39633E5A"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Targeted small-group provision for disadvantaged pupils in Reception to accelerate progress in prime areas and early literacy/numeracy.</w:t>
            </w:r>
          </w:p>
          <w:p w14:paraId="721825D4" w14:textId="28EE5356" w:rsidR="00C81622" w:rsidRPr="00BC4704" w:rsidRDefault="00C81622">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002F" w14:textId="77777777" w:rsidR="005C57BF" w:rsidRPr="00BC4704" w:rsidRDefault="00446511">
            <w:pPr>
              <w:pStyle w:val="TableRowCentered"/>
              <w:jc w:val="left"/>
              <w:rPr>
                <w:rFonts w:cs="Arial"/>
                <w:sz w:val="22"/>
                <w:szCs w:val="22"/>
              </w:rPr>
            </w:pPr>
            <w:r w:rsidRPr="00BC4704">
              <w:rPr>
                <w:rFonts w:cs="Arial"/>
                <w:sz w:val="22"/>
                <w:szCs w:val="22"/>
              </w:rPr>
              <w:t>Research shows that high-quality early years provision has the greatest long-term impact on disadvantaged pupils. The EEF emphasises language development, early literacy, and numeracy as core foci (+5 months).</w:t>
            </w:r>
          </w:p>
          <w:p w14:paraId="23702B81" w14:textId="21DCC2F9" w:rsidR="00834662" w:rsidRPr="00BC4704" w:rsidRDefault="00834662">
            <w:pPr>
              <w:pStyle w:val="TableRowCentered"/>
              <w:jc w:val="left"/>
              <w:rPr>
                <w:rFonts w:cs="Arial"/>
                <w:sz w:val="22"/>
                <w:szCs w:val="22"/>
              </w:rPr>
            </w:pPr>
            <w:hyperlink r:id="rId11" w:history="1">
              <w:r w:rsidRPr="00BC4704">
                <w:rPr>
                  <w:rStyle w:val="Hyperlink"/>
                  <w:rFonts w:cs="Arial"/>
                  <w:sz w:val="22"/>
                  <w:szCs w:val="22"/>
                </w:rPr>
                <w:t>Oral Language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1C683" w14:textId="465EF52B" w:rsidR="00C81622" w:rsidRPr="00BC4704" w:rsidRDefault="000F568C">
            <w:pPr>
              <w:pStyle w:val="TableRowCentered"/>
              <w:jc w:val="left"/>
              <w:rPr>
                <w:rFonts w:cs="Arial"/>
                <w:sz w:val="22"/>
                <w:szCs w:val="22"/>
              </w:rPr>
            </w:pPr>
            <w:r w:rsidRPr="00BC4704">
              <w:rPr>
                <w:rFonts w:cs="Arial"/>
                <w:sz w:val="22"/>
                <w:szCs w:val="22"/>
              </w:rPr>
              <w:t>2</w:t>
            </w:r>
            <w:r w:rsidR="00446511" w:rsidRPr="00BC4704">
              <w:rPr>
                <w:rFonts w:cs="Arial"/>
                <w:sz w:val="22"/>
                <w:szCs w:val="22"/>
              </w:rPr>
              <w:t>, 3</w:t>
            </w:r>
          </w:p>
        </w:tc>
      </w:tr>
      <w:tr w:rsidR="005C57BF" w:rsidRPr="00BC4704" w14:paraId="3A47A0F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AEB2" w14:textId="75EC7B0D"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Develop Reading, Writing and Maths Pedagogy Across the School</w:t>
            </w:r>
          </w:p>
          <w:p w14:paraId="1C0AEC29"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lastRenderedPageBreak/>
              <w:t>Use of high-quality schemes and assessments (e.g., Power of Reading, White Rose, PIRA, GAPS) to support teacher planning.</w:t>
            </w:r>
          </w:p>
          <w:p w14:paraId="6A12A05B"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Regular moderation and coaching to ensure consistency of standards across year groups.</w:t>
            </w:r>
          </w:p>
          <w:p w14:paraId="11111E3F" w14:textId="5EF4EC0E" w:rsidR="005C57BF" w:rsidRPr="00BC4704" w:rsidRDefault="005C57BF">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0CECE" w14:textId="47B0BB26" w:rsidR="005C57BF" w:rsidRPr="00BC4704" w:rsidRDefault="00446511">
            <w:pPr>
              <w:pStyle w:val="TableRowCentered"/>
              <w:jc w:val="left"/>
              <w:rPr>
                <w:rFonts w:cs="Arial"/>
                <w:sz w:val="22"/>
                <w:szCs w:val="22"/>
              </w:rPr>
            </w:pPr>
            <w:r w:rsidRPr="00BC4704">
              <w:rPr>
                <w:rFonts w:cs="Arial"/>
                <w:sz w:val="22"/>
                <w:szCs w:val="22"/>
              </w:rPr>
              <w:lastRenderedPageBreak/>
              <w:t xml:space="preserve">The EEF finds that Reading Comprehension strategies add up to +6 months’ progress, Mastery Learning +5 months, and Feedback +6 months. Use of high-quality schemes and consistent </w:t>
            </w:r>
            <w:r w:rsidRPr="00BC4704">
              <w:rPr>
                <w:rFonts w:cs="Arial"/>
                <w:sz w:val="22"/>
                <w:szCs w:val="22"/>
              </w:rPr>
              <w:lastRenderedPageBreak/>
              <w:t>approaches strengthens outcomes for disadvantaged pupils.</w:t>
            </w:r>
          </w:p>
          <w:p w14:paraId="58C21800" w14:textId="2DACCCAC" w:rsidR="005C57BF" w:rsidRPr="00BC4704" w:rsidRDefault="00834662">
            <w:pPr>
              <w:pStyle w:val="TableRowCentered"/>
              <w:jc w:val="left"/>
              <w:rPr>
                <w:rFonts w:cs="Arial"/>
                <w:sz w:val="22"/>
                <w:szCs w:val="22"/>
              </w:rPr>
            </w:pPr>
            <w:hyperlink r:id="rId12" w:history="1">
              <w:r w:rsidR="005C57BF" w:rsidRPr="00BC4704">
                <w:rPr>
                  <w:rStyle w:val="Hyperlink"/>
                  <w:rFonts w:cs="Arial"/>
                  <w:sz w:val="22"/>
                  <w:szCs w:val="22"/>
                </w:rPr>
                <w:t>Reading Comprehension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F8BEC" w14:textId="7D908F79" w:rsidR="005C57BF" w:rsidRPr="00BC4704" w:rsidRDefault="000F568C">
            <w:pPr>
              <w:pStyle w:val="TableRowCentered"/>
              <w:jc w:val="left"/>
              <w:rPr>
                <w:rFonts w:cs="Arial"/>
                <w:sz w:val="22"/>
                <w:szCs w:val="22"/>
              </w:rPr>
            </w:pPr>
            <w:r w:rsidRPr="00BC4704">
              <w:rPr>
                <w:rFonts w:cs="Arial"/>
                <w:sz w:val="22"/>
                <w:szCs w:val="22"/>
              </w:rPr>
              <w:lastRenderedPageBreak/>
              <w:t xml:space="preserve">1, </w:t>
            </w:r>
            <w:r w:rsidR="00446511" w:rsidRPr="00BC4704">
              <w:rPr>
                <w:rFonts w:cs="Arial"/>
                <w:sz w:val="22"/>
                <w:szCs w:val="22"/>
              </w:rPr>
              <w:t>3, 4, 5</w:t>
            </w:r>
          </w:p>
        </w:tc>
      </w:tr>
      <w:tr w:rsidR="00522765" w:rsidRPr="00BC4704" w14:paraId="0C536ED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2D8F" w14:textId="77777777"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High-Quality CPD for Staff at All Levels</w:t>
            </w:r>
          </w:p>
          <w:p w14:paraId="2B468DE8"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Continued investment in NPQs, ECT support, and subject leadership training to drive improvement in teaching and learning.</w:t>
            </w:r>
          </w:p>
          <w:p w14:paraId="4CBED7A5"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Focused training on adaptive teaching to meet the needs of disadvantaged and SEND pupils.</w:t>
            </w:r>
          </w:p>
          <w:p w14:paraId="5DF4FB04" w14:textId="3DA5619A" w:rsidR="00522765" w:rsidRPr="00BC4704" w:rsidRDefault="00522765">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25F0" w14:textId="77777777" w:rsidR="00522765" w:rsidRPr="00BC4704" w:rsidRDefault="00446511">
            <w:pPr>
              <w:pStyle w:val="TableRowCentered"/>
              <w:jc w:val="left"/>
              <w:rPr>
                <w:rFonts w:cs="Arial"/>
                <w:sz w:val="22"/>
                <w:szCs w:val="22"/>
              </w:rPr>
            </w:pPr>
            <w:r w:rsidRPr="00BC4704">
              <w:rPr>
                <w:rFonts w:cs="Arial"/>
                <w:sz w:val="22"/>
                <w:szCs w:val="22"/>
              </w:rPr>
              <w:t xml:space="preserve">The EEF emphasises that improving the quality of teaching is the strongest lever schools have to raise attainment. Professional development has a </w:t>
            </w:r>
            <w:r w:rsidRPr="00BC4704">
              <w:rPr>
                <w:rStyle w:val="Emphasis"/>
                <w:rFonts w:cs="Arial"/>
                <w:sz w:val="22"/>
                <w:szCs w:val="22"/>
              </w:rPr>
              <w:t>high impact for low cost</w:t>
            </w:r>
            <w:r w:rsidRPr="00BC4704">
              <w:rPr>
                <w:rFonts w:cs="Arial"/>
                <w:sz w:val="22"/>
                <w:szCs w:val="22"/>
              </w:rPr>
              <w:t xml:space="preserve"> (+6 months). NPQs are supported nationally as a vehicle for leadership development.</w:t>
            </w:r>
          </w:p>
          <w:p w14:paraId="1A4EAA76" w14:textId="2AC85BE1" w:rsidR="00834662" w:rsidRPr="00BC4704" w:rsidRDefault="00834662" w:rsidP="00834662">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3AD2" w14:textId="701046F0" w:rsidR="00522765" w:rsidRPr="00BC4704" w:rsidRDefault="00446511">
            <w:pPr>
              <w:pStyle w:val="TableRowCentered"/>
              <w:jc w:val="left"/>
              <w:rPr>
                <w:rFonts w:cs="Arial"/>
                <w:sz w:val="22"/>
                <w:szCs w:val="22"/>
              </w:rPr>
            </w:pPr>
            <w:r w:rsidRPr="00BC4704">
              <w:rPr>
                <w:rFonts w:cs="Arial"/>
                <w:sz w:val="22"/>
                <w:szCs w:val="22"/>
              </w:rPr>
              <w:t xml:space="preserve">1, </w:t>
            </w:r>
            <w:r w:rsidR="000F568C" w:rsidRPr="00BC4704">
              <w:rPr>
                <w:rFonts w:cs="Arial"/>
                <w:sz w:val="22"/>
                <w:szCs w:val="22"/>
              </w:rPr>
              <w:t>2</w:t>
            </w:r>
            <w:r w:rsidRPr="00BC4704">
              <w:rPr>
                <w:rFonts w:cs="Arial"/>
                <w:sz w:val="22"/>
                <w:szCs w:val="22"/>
              </w:rPr>
              <w:t>, 3, 4, 5, 6</w:t>
            </w:r>
          </w:p>
        </w:tc>
      </w:tr>
      <w:tr w:rsidR="007C5D38" w:rsidRPr="00BC4704" w14:paraId="3C1A17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AA79" w14:textId="77777777"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Embed Diagnostic Assessment and Responsive Teaching</w:t>
            </w:r>
          </w:p>
          <w:p w14:paraId="3B19988F"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Purchase and use of standardised assessments to identify gaps and track progress, enabling teachers to respond quickly.</w:t>
            </w:r>
          </w:p>
          <w:p w14:paraId="5FFE6D0E"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Staff training on effective use of formative assessment to adapt teaching.</w:t>
            </w:r>
          </w:p>
          <w:p w14:paraId="2F920222" w14:textId="303C5AD7" w:rsidR="007C5D38" w:rsidRPr="00BC4704" w:rsidRDefault="007C5D38" w:rsidP="007C5D38">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88D40" w14:textId="18107FD2" w:rsidR="007C5D38" w:rsidRPr="00BC4704" w:rsidRDefault="00446511">
            <w:pPr>
              <w:pStyle w:val="TableRowCentered"/>
              <w:jc w:val="left"/>
              <w:rPr>
                <w:rFonts w:cs="Arial"/>
                <w:sz w:val="22"/>
                <w:szCs w:val="22"/>
              </w:rPr>
            </w:pPr>
            <w:r w:rsidRPr="00BC4704">
              <w:rPr>
                <w:rFonts w:cs="Arial"/>
                <w:sz w:val="22"/>
                <w:szCs w:val="22"/>
              </w:rPr>
              <w:t xml:space="preserve">EEF states that diagnostic assessment and effective feedback are crucial in identifying gaps and supporting learning. Formative assessment has a </w:t>
            </w:r>
            <w:r w:rsidRPr="00BC4704">
              <w:rPr>
                <w:rStyle w:val="Emphasis"/>
                <w:rFonts w:cs="Arial"/>
                <w:sz w:val="22"/>
                <w:szCs w:val="22"/>
              </w:rPr>
              <w:t>high impact</w:t>
            </w:r>
            <w:r w:rsidRPr="00BC4704">
              <w:rPr>
                <w:rFonts w:cs="Arial"/>
                <w:sz w:val="22"/>
                <w:szCs w:val="22"/>
              </w:rPr>
              <w:t xml:space="preserve">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F7AE3" w14:textId="216D2929" w:rsidR="007C5D38" w:rsidRPr="00BC4704" w:rsidRDefault="007C5D38">
            <w:pPr>
              <w:pStyle w:val="TableRowCentered"/>
              <w:jc w:val="left"/>
              <w:rPr>
                <w:rFonts w:cs="Arial"/>
                <w:sz w:val="22"/>
                <w:szCs w:val="22"/>
              </w:rPr>
            </w:pPr>
            <w:r w:rsidRPr="00BC4704">
              <w:rPr>
                <w:rFonts w:cs="Arial"/>
                <w:sz w:val="22"/>
                <w:szCs w:val="22"/>
              </w:rPr>
              <w:t xml:space="preserve">1, </w:t>
            </w:r>
            <w:r w:rsidR="00446511" w:rsidRPr="00BC4704">
              <w:rPr>
                <w:rFonts w:cs="Arial"/>
                <w:sz w:val="22"/>
                <w:szCs w:val="22"/>
              </w:rPr>
              <w:t>3, 4, 5</w:t>
            </w:r>
          </w:p>
        </w:tc>
      </w:tr>
      <w:tr w:rsidR="00446511" w:rsidRPr="00BC4704" w14:paraId="40B4C96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3B58C" w14:textId="0C399FAE"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Improve Consistency in Handwriting, Presentation and Writing Fluency</w:t>
            </w:r>
          </w:p>
          <w:p w14:paraId="0FD86CF1"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lastRenderedPageBreak/>
              <w:t>Continued investment in ULS handwriting programme and supporting resources.</w:t>
            </w:r>
          </w:p>
          <w:p w14:paraId="7CD80C0D"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Targeted interventions in writing for disadvantaged pupils in KS1 and KS2.</w:t>
            </w:r>
          </w:p>
          <w:p w14:paraId="56DDF072" w14:textId="77777777" w:rsidR="00446511" w:rsidRPr="00BC4704" w:rsidRDefault="00446511" w:rsidP="00446511">
            <w:pPr>
              <w:suppressAutoHyphens w:val="0"/>
              <w:autoSpaceDN/>
              <w:spacing w:before="100" w:beforeAutospacing="1" w:after="100" w:afterAutospacing="1" w:line="240" w:lineRule="auto"/>
              <w:rPr>
                <w:rFonts w:cs="Arial"/>
                <w:b/>
                <w:bCs/>
                <w:color w:val="auto"/>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E2673" w14:textId="57E2E443" w:rsidR="00446511" w:rsidRPr="00BC4704" w:rsidRDefault="00446511">
            <w:pPr>
              <w:pStyle w:val="TableRowCentered"/>
              <w:jc w:val="left"/>
              <w:rPr>
                <w:rFonts w:cs="Arial"/>
                <w:sz w:val="22"/>
                <w:szCs w:val="22"/>
              </w:rPr>
            </w:pPr>
            <w:r w:rsidRPr="00BC4704">
              <w:rPr>
                <w:rFonts w:cs="Arial"/>
                <w:sz w:val="22"/>
                <w:szCs w:val="22"/>
              </w:rPr>
              <w:lastRenderedPageBreak/>
              <w:t>EEF stresses that Writing interventions that include modelling, scaffolding, and feedback can add +4 months’ progress. Developing fluency in transcription skills (handwriting, spelling) frees working memory for composition.</w:t>
            </w:r>
          </w:p>
          <w:p w14:paraId="7A283230" w14:textId="77777777" w:rsidR="00834662" w:rsidRPr="00BC4704" w:rsidRDefault="00834662" w:rsidP="00834662">
            <w:pPr>
              <w:pStyle w:val="TableRowCentered"/>
              <w:jc w:val="left"/>
              <w:rPr>
                <w:rFonts w:cs="Arial"/>
                <w:sz w:val="22"/>
                <w:szCs w:val="22"/>
              </w:rPr>
            </w:pPr>
            <w:hyperlink r:id="rId13" w:history="1">
              <w:r w:rsidRPr="00BC4704">
                <w:rPr>
                  <w:rStyle w:val="Hyperlink"/>
                  <w:rFonts w:cs="Arial"/>
                  <w:sz w:val="22"/>
                  <w:szCs w:val="22"/>
                </w:rPr>
                <w:t>Craft of Writing - EEF</w:t>
              </w:r>
            </w:hyperlink>
          </w:p>
          <w:p w14:paraId="365BC884" w14:textId="77777777" w:rsidR="00834662" w:rsidRPr="00BC4704" w:rsidRDefault="00834662">
            <w:pPr>
              <w:pStyle w:val="TableRowCentered"/>
              <w:jc w:val="left"/>
              <w:rPr>
                <w:rFonts w:cs="Arial"/>
                <w:sz w:val="22"/>
                <w:szCs w:val="22"/>
              </w:rPr>
            </w:pPr>
          </w:p>
          <w:p w14:paraId="5D375C66" w14:textId="77777777" w:rsidR="00446511" w:rsidRPr="00BC4704" w:rsidRDefault="00446511" w:rsidP="00446511">
            <w:pPr>
              <w:jc w:val="center"/>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C5E0" w14:textId="5E703C81" w:rsidR="00446511" w:rsidRPr="00BC4704" w:rsidRDefault="00446511">
            <w:pPr>
              <w:pStyle w:val="TableRowCentered"/>
              <w:jc w:val="left"/>
              <w:rPr>
                <w:rFonts w:cs="Arial"/>
                <w:sz w:val="22"/>
                <w:szCs w:val="22"/>
              </w:rPr>
            </w:pPr>
            <w:r w:rsidRPr="00BC4704">
              <w:rPr>
                <w:rFonts w:cs="Arial"/>
                <w:sz w:val="22"/>
                <w:szCs w:val="22"/>
              </w:rPr>
              <w:lastRenderedPageBreak/>
              <w:t>4, 5</w:t>
            </w:r>
          </w:p>
        </w:tc>
      </w:tr>
      <w:tr w:rsidR="00446511" w:rsidRPr="00BC4704" w14:paraId="2B871BA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163D" w14:textId="77777777" w:rsidR="00446511" w:rsidRPr="00BC4704" w:rsidRDefault="00446511" w:rsidP="00446511">
            <w:pPr>
              <w:suppressAutoHyphens w:val="0"/>
              <w:autoSpaceDN/>
              <w:spacing w:before="100" w:beforeAutospacing="1" w:after="100" w:afterAutospacing="1" w:line="240" w:lineRule="auto"/>
              <w:rPr>
                <w:rFonts w:cs="Arial"/>
                <w:color w:val="auto"/>
                <w:sz w:val="22"/>
                <w:szCs w:val="22"/>
              </w:rPr>
            </w:pPr>
            <w:r w:rsidRPr="00BC4704">
              <w:rPr>
                <w:rFonts w:cs="Arial"/>
                <w:b/>
                <w:bCs/>
                <w:color w:val="auto"/>
                <w:sz w:val="22"/>
                <w:szCs w:val="22"/>
              </w:rPr>
              <w:t>CPD on SEMH-Aware Teaching</w:t>
            </w:r>
          </w:p>
          <w:p w14:paraId="2795E765" w14:textId="77777777"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Training for all staff on trauma-informed practice and effective strategies for supporting pupils with SEMH needs within the classroom.</w:t>
            </w:r>
          </w:p>
          <w:p w14:paraId="3CDAE13D" w14:textId="14BA9583" w:rsidR="00446511" w:rsidRPr="00BC4704" w:rsidRDefault="00446511" w:rsidP="006C6501">
            <w:pPr>
              <w:suppressAutoHyphens w:val="0"/>
              <w:autoSpaceDN/>
              <w:spacing w:before="100" w:beforeAutospacing="1" w:after="100" w:afterAutospacing="1" w:line="240" w:lineRule="auto"/>
              <w:rPr>
                <w:rFonts w:cs="Arial"/>
                <w:color w:val="auto"/>
                <w:sz w:val="22"/>
                <w:szCs w:val="22"/>
              </w:rPr>
            </w:pPr>
            <w:r w:rsidRPr="00BC4704">
              <w:rPr>
                <w:rFonts w:cs="Arial"/>
                <w:color w:val="auto"/>
                <w:sz w:val="22"/>
                <w:szCs w:val="22"/>
              </w:rPr>
              <w:t>Ongoing professional dialogue around behaviour, emotional regulation and learning readiness.</w:t>
            </w:r>
          </w:p>
          <w:p w14:paraId="01F8D45F" w14:textId="77777777" w:rsidR="00446511" w:rsidRPr="00BC4704" w:rsidRDefault="00446511" w:rsidP="00446511">
            <w:pPr>
              <w:suppressAutoHyphens w:val="0"/>
              <w:autoSpaceDN/>
              <w:spacing w:before="100" w:beforeAutospacing="1" w:after="100" w:afterAutospacing="1" w:line="240" w:lineRule="auto"/>
              <w:rPr>
                <w:rFonts w:cs="Arial"/>
                <w:b/>
                <w:bCs/>
                <w:color w:val="auto"/>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7EF1E" w14:textId="4C3FF2D8" w:rsidR="00446511" w:rsidRPr="00BC4704" w:rsidRDefault="00446511">
            <w:pPr>
              <w:pStyle w:val="TableRowCentered"/>
              <w:jc w:val="left"/>
              <w:rPr>
                <w:rFonts w:cs="Arial"/>
                <w:sz w:val="22"/>
                <w:szCs w:val="22"/>
              </w:rPr>
            </w:pPr>
            <w:r w:rsidRPr="00BC4704">
              <w:rPr>
                <w:rFonts w:cs="Arial"/>
                <w:sz w:val="22"/>
                <w:szCs w:val="22"/>
              </w:rPr>
              <w:t xml:space="preserve">The EEF highlights that Social and Emotional Learning programmes have a </w:t>
            </w:r>
            <w:r w:rsidRPr="00BC4704">
              <w:rPr>
                <w:rStyle w:val="Emphasis"/>
                <w:rFonts w:cs="Arial"/>
                <w:sz w:val="22"/>
                <w:szCs w:val="22"/>
              </w:rPr>
              <w:t>moderate impact</w:t>
            </w:r>
            <w:r w:rsidRPr="00BC4704">
              <w:rPr>
                <w:rFonts w:cs="Arial"/>
                <w:sz w:val="22"/>
                <w:szCs w:val="22"/>
              </w:rPr>
              <w:t xml:space="preserve"> (+4 months), particularly when embedded into classroom practice. Trauma-informed and relational approaches also improve engagement and readiness to learn.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2AFD" w14:textId="2A6C61BC" w:rsidR="00446511" w:rsidRPr="00BC4704" w:rsidRDefault="00446511">
            <w:pPr>
              <w:pStyle w:val="TableRowCentered"/>
              <w:jc w:val="left"/>
              <w:rPr>
                <w:rFonts w:cs="Arial"/>
                <w:sz w:val="22"/>
                <w:szCs w:val="22"/>
              </w:rPr>
            </w:pPr>
            <w:r w:rsidRPr="00BC4704">
              <w:rPr>
                <w:rFonts w:cs="Arial"/>
                <w:sz w:val="22"/>
                <w:szCs w:val="22"/>
              </w:rPr>
              <w:t>6, 7</w:t>
            </w:r>
          </w:p>
        </w:tc>
      </w:tr>
    </w:tbl>
    <w:p w14:paraId="4A05FC21" w14:textId="4DB91733" w:rsidR="00522765" w:rsidRPr="00BC4704" w:rsidRDefault="00522765">
      <w:pPr>
        <w:rPr>
          <w:rFonts w:cs="Arial"/>
          <w:b/>
          <w:bCs/>
          <w:color w:val="104F75"/>
          <w:sz w:val="22"/>
          <w:szCs w:val="22"/>
        </w:rPr>
      </w:pPr>
    </w:p>
    <w:p w14:paraId="2A7D5523" w14:textId="568A8D67" w:rsidR="00E66558" w:rsidRPr="00BC4704" w:rsidRDefault="009D71E8">
      <w:pPr>
        <w:rPr>
          <w:rFonts w:cs="Arial"/>
          <w:b/>
          <w:bCs/>
          <w:color w:val="104F75"/>
          <w:sz w:val="22"/>
          <w:szCs w:val="22"/>
        </w:rPr>
      </w:pPr>
      <w:r w:rsidRPr="00BC4704">
        <w:rPr>
          <w:rFonts w:cs="Arial"/>
          <w:b/>
          <w:bCs/>
          <w:color w:val="104F75"/>
          <w:sz w:val="22"/>
          <w:szCs w:val="22"/>
        </w:rPr>
        <w:t xml:space="preserve">Targeted academic support (for example, </w:t>
      </w:r>
      <w:r w:rsidR="00D33FE5" w:rsidRPr="00BC4704">
        <w:rPr>
          <w:rFonts w:cs="Arial"/>
          <w:b/>
          <w:bCs/>
          <w:color w:val="104F75"/>
          <w:sz w:val="22"/>
          <w:szCs w:val="22"/>
        </w:rPr>
        <w:t xml:space="preserve">tutoring, one-to-one support </w:t>
      </w:r>
      <w:r w:rsidRPr="00BC4704">
        <w:rPr>
          <w:rFonts w:cs="Arial"/>
          <w:b/>
          <w:bCs/>
          <w:color w:val="104F75"/>
          <w:sz w:val="22"/>
          <w:szCs w:val="22"/>
        </w:rPr>
        <w:t xml:space="preserve">structured interventions) </w:t>
      </w:r>
    </w:p>
    <w:p w14:paraId="2A7D5524" w14:textId="7FA33FAE" w:rsidR="00E66558" w:rsidRPr="00BC4704" w:rsidRDefault="009D71E8">
      <w:pPr>
        <w:rPr>
          <w:rFonts w:cs="Arial"/>
          <w:color w:val="0070C0"/>
          <w:sz w:val="22"/>
          <w:szCs w:val="22"/>
        </w:rPr>
      </w:pPr>
      <w:r w:rsidRPr="00BC4704">
        <w:rPr>
          <w:rFonts w:cs="Arial"/>
          <w:sz w:val="22"/>
          <w:szCs w:val="22"/>
        </w:rPr>
        <w:t xml:space="preserve">Budgeted cost: </w:t>
      </w:r>
      <w:r w:rsidR="00EF49DC">
        <w:rPr>
          <w:rFonts w:cs="Arial"/>
          <w:sz w:val="22"/>
          <w:szCs w:val="22"/>
        </w:rPr>
        <w:t>£30,300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BC4704"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BC4704" w:rsidRDefault="009D71E8">
            <w:pPr>
              <w:pStyle w:val="TableHeader"/>
              <w:jc w:val="left"/>
              <w:rPr>
                <w:rFonts w:cs="Arial"/>
                <w:sz w:val="22"/>
                <w:szCs w:val="22"/>
              </w:rPr>
            </w:pPr>
            <w:r w:rsidRPr="00BC4704">
              <w:rPr>
                <w:rFonts w:cs="Arial"/>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BC4704" w:rsidRDefault="009D71E8">
            <w:pPr>
              <w:pStyle w:val="TableHeader"/>
              <w:jc w:val="left"/>
              <w:rPr>
                <w:rFonts w:cs="Arial"/>
                <w:sz w:val="22"/>
                <w:szCs w:val="22"/>
              </w:rPr>
            </w:pPr>
            <w:r w:rsidRPr="00BC4704">
              <w:rPr>
                <w:rFonts w:cs="Arial"/>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BC4704" w:rsidRDefault="009D71E8">
            <w:pPr>
              <w:pStyle w:val="TableHeader"/>
              <w:jc w:val="left"/>
              <w:rPr>
                <w:rFonts w:cs="Arial"/>
                <w:sz w:val="22"/>
                <w:szCs w:val="22"/>
              </w:rPr>
            </w:pPr>
            <w:r w:rsidRPr="00BC4704">
              <w:rPr>
                <w:rFonts w:cs="Arial"/>
                <w:sz w:val="22"/>
                <w:szCs w:val="22"/>
              </w:rPr>
              <w:t>Challenge number(s) addressed</w:t>
            </w:r>
          </w:p>
        </w:tc>
      </w:tr>
      <w:tr w:rsidR="00E66558" w:rsidRPr="00BC4704"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FE55FE0" w:rsidR="00E66558" w:rsidRPr="00BC4704" w:rsidRDefault="00446511">
            <w:pPr>
              <w:pStyle w:val="TableRow"/>
              <w:rPr>
                <w:rFonts w:cs="Arial"/>
                <w:sz w:val="22"/>
                <w:szCs w:val="22"/>
              </w:rPr>
            </w:pPr>
            <w:r w:rsidRPr="00BC4704">
              <w:rPr>
                <w:rFonts w:cs="Arial"/>
                <w:sz w:val="22"/>
                <w:szCs w:val="22"/>
              </w:rPr>
              <w:t>Provide additional small group and 1:1 tutoring in phonics, reading, writing and maths for disadvantaged pupils at risk of falling behind, particularly in Years 2</w:t>
            </w:r>
            <w:r w:rsidR="006C6501">
              <w:rPr>
                <w:rFonts w:cs="Arial"/>
                <w:sz w:val="22"/>
                <w:szCs w:val="22"/>
              </w:rPr>
              <w:t>-</w:t>
            </w:r>
            <w:r w:rsidRPr="00BC4704">
              <w:rPr>
                <w:rFonts w:cs="Arial"/>
                <w:sz w:val="22"/>
                <w:szCs w:val="22"/>
              </w:rPr>
              <w:t>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ADD53" w14:textId="19848A34" w:rsidR="00522765" w:rsidRPr="00BC4704" w:rsidRDefault="00446511">
            <w:pPr>
              <w:pStyle w:val="TableRowCentered"/>
              <w:jc w:val="left"/>
              <w:rPr>
                <w:rFonts w:cs="Arial"/>
                <w:sz w:val="22"/>
                <w:szCs w:val="22"/>
              </w:rPr>
            </w:pPr>
            <w:r w:rsidRPr="00BC4704">
              <w:rPr>
                <w:rFonts w:cs="Arial"/>
                <w:sz w:val="22"/>
                <w:szCs w:val="22"/>
              </w:rPr>
              <w:t>EEF shows that 1:1 tuition (+5 months) and small group tuition (+4 months) can have a strong impact if well targeted and linked to classroom teaching.</w:t>
            </w:r>
          </w:p>
          <w:p w14:paraId="744DAEAD" w14:textId="2837F4D9" w:rsidR="00522765" w:rsidRPr="00BC4704" w:rsidRDefault="00834662">
            <w:pPr>
              <w:pStyle w:val="TableRowCentered"/>
              <w:jc w:val="left"/>
              <w:rPr>
                <w:rFonts w:cs="Arial"/>
                <w:sz w:val="22"/>
                <w:szCs w:val="22"/>
              </w:rPr>
            </w:pPr>
            <w:hyperlink r:id="rId14" w:history="1">
              <w:r w:rsidR="00522765" w:rsidRPr="00BC4704">
                <w:rPr>
                  <w:rStyle w:val="Hyperlink"/>
                  <w:rFonts w:cs="Arial"/>
                  <w:sz w:val="22"/>
                  <w:szCs w:val="22"/>
                </w:rPr>
                <w:t>Small Group Tuition - EEF</w:t>
              </w:r>
            </w:hyperlink>
          </w:p>
          <w:p w14:paraId="30518EA0" w14:textId="05B8EA19" w:rsidR="00522765" w:rsidRPr="00BC4704" w:rsidRDefault="00522765">
            <w:pPr>
              <w:pStyle w:val="TableRowCentered"/>
              <w:jc w:val="left"/>
              <w:rPr>
                <w:rFonts w:cs="Arial"/>
                <w:sz w:val="22"/>
                <w:szCs w:val="22"/>
              </w:rPr>
            </w:pPr>
          </w:p>
          <w:p w14:paraId="2A7D552A" w14:textId="15E0633E" w:rsidR="00522765" w:rsidRPr="00BC4704" w:rsidRDefault="00834662">
            <w:pPr>
              <w:pStyle w:val="TableRowCentered"/>
              <w:jc w:val="left"/>
              <w:rPr>
                <w:rFonts w:cs="Arial"/>
                <w:sz w:val="22"/>
                <w:szCs w:val="22"/>
              </w:rPr>
            </w:pPr>
            <w:hyperlink r:id="rId15" w:history="1">
              <w:r w:rsidR="00522765" w:rsidRPr="00BC4704">
                <w:rPr>
                  <w:rStyle w:val="Hyperlink"/>
                  <w:rFonts w:cs="Arial"/>
                  <w:sz w:val="22"/>
                  <w:szCs w:val="22"/>
                </w:rPr>
                <w:t>One to One Tuition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2042C77" w:rsidR="00E66558" w:rsidRPr="00BC4704" w:rsidRDefault="000F568C">
            <w:pPr>
              <w:pStyle w:val="TableRowCentered"/>
              <w:jc w:val="left"/>
              <w:rPr>
                <w:rFonts w:cs="Arial"/>
                <w:sz w:val="22"/>
                <w:szCs w:val="22"/>
              </w:rPr>
            </w:pPr>
            <w:r w:rsidRPr="00BC4704">
              <w:rPr>
                <w:rFonts w:cs="Arial"/>
                <w:sz w:val="22"/>
                <w:szCs w:val="22"/>
              </w:rPr>
              <w:t>1, 3</w:t>
            </w:r>
            <w:r w:rsidR="00446511" w:rsidRPr="00BC4704">
              <w:rPr>
                <w:rFonts w:cs="Arial"/>
                <w:sz w:val="22"/>
                <w:szCs w:val="22"/>
              </w:rPr>
              <w:t>, 4, 5</w:t>
            </w:r>
          </w:p>
        </w:tc>
      </w:tr>
      <w:tr w:rsidR="00522765" w:rsidRPr="00BC4704"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C47231F" w:rsidR="00522765" w:rsidRPr="00BC4704" w:rsidRDefault="00446511" w:rsidP="00522765">
            <w:pPr>
              <w:pStyle w:val="TableRow"/>
              <w:rPr>
                <w:rFonts w:cs="Arial"/>
                <w:i/>
                <w:sz w:val="22"/>
                <w:szCs w:val="22"/>
              </w:rPr>
            </w:pPr>
            <w:r w:rsidRPr="00BC4704">
              <w:rPr>
                <w:rFonts w:cs="Arial"/>
                <w:sz w:val="22"/>
                <w:szCs w:val="22"/>
              </w:rPr>
              <w:t xml:space="preserve">Run targeted phonics booster groups and interventions for PP children in Year 1 and 2, with continued support in KS2 where needed. Use </w:t>
            </w:r>
            <w:r w:rsidRPr="00BC4704">
              <w:rPr>
                <w:rFonts w:cs="Arial"/>
                <w:sz w:val="22"/>
                <w:szCs w:val="22"/>
              </w:rPr>
              <w:lastRenderedPageBreak/>
              <w:t>assessments to monitor progress.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1A2A" w14:textId="77777777" w:rsidR="00522765" w:rsidRPr="00BC4704" w:rsidRDefault="00446511" w:rsidP="00522765">
            <w:pPr>
              <w:pStyle w:val="TableRowCentered"/>
              <w:jc w:val="left"/>
              <w:rPr>
                <w:rFonts w:cs="Arial"/>
                <w:sz w:val="22"/>
                <w:szCs w:val="22"/>
              </w:rPr>
            </w:pPr>
            <w:r w:rsidRPr="00BC4704">
              <w:rPr>
                <w:rFonts w:cs="Arial"/>
                <w:sz w:val="22"/>
                <w:szCs w:val="22"/>
              </w:rPr>
              <w:lastRenderedPageBreak/>
              <w:t xml:space="preserve">Phonics approaches have a </w:t>
            </w:r>
            <w:r w:rsidRPr="00BC4704">
              <w:rPr>
                <w:rStyle w:val="Emphasis"/>
                <w:rFonts w:cs="Arial"/>
                <w:sz w:val="22"/>
                <w:szCs w:val="22"/>
              </w:rPr>
              <w:t>very high impact</w:t>
            </w:r>
            <w:r w:rsidRPr="00BC4704">
              <w:rPr>
                <w:rFonts w:cs="Arial"/>
                <w:sz w:val="22"/>
                <w:szCs w:val="22"/>
              </w:rPr>
              <w:t xml:space="preserve"> (+5 months) for disadvantaged pupils. Catch-up in KS2 ensures gaps are closed for those who did not meet expected standards in Year 1 or 2.</w:t>
            </w:r>
          </w:p>
          <w:p w14:paraId="2A7D552E" w14:textId="7F3679DA" w:rsidR="007923CC" w:rsidRPr="00BC4704" w:rsidRDefault="007923CC" w:rsidP="00522765">
            <w:pPr>
              <w:pStyle w:val="TableRowCentered"/>
              <w:jc w:val="left"/>
              <w:rPr>
                <w:rFonts w:cs="Arial"/>
                <w:sz w:val="22"/>
                <w:szCs w:val="22"/>
              </w:rPr>
            </w:pPr>
            <w:hyperlink r:id="rId16" w:history="1">
              <w:r w:rsidRPr="00BC4704">
                <w:rPr>
                  <w:rStyle w:val="Hyperlink"/>
                  <w:rFonts w:cs="Arial"/>
                  <w:sz w:val="22"/>
                  <w:szCs w:val="22"/>
                </w:rPr>
                <w:t>Phonics</w:t>
              </w:r>
              <w:r w:rsidRPr="00BC4704">
                <w:rPr>
                  <w:rStyle w:val="Hyperlink"/>
                  <w:rFonts w:cs="Arial"/>
                  <w:sz w:val="22"/>
                  <w:szCs w:val="22"/>
                </w:rPr>
                <w:t xml:space="preserve"> </w:t>
              </w:r>
              <w:r w:rsidRPr="00BC4704">
                <w:rPr>
                  <w:rStyle w:val="Hyperlink"/>
                  <w:rFonts w:cs="Arial"/>
                  <w:sz w:val="22"/>
                  <w:szCs w:val="22"/>
                </w:rPr>
                <w:t>-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6967FFF" w:rsidR="00522765" w:rsidRPr="00BC4704" w:rsidRDefault="000F568C" w:rsidP="00522765">
            <w:pPr>
              <w:pStyle w:val="TableRowCentered"/>
              <w:jc w:val="left"/>
              <w:rPr>
                <w:rFonts w:cs="Arial"/>
                <w:sz w:val="22"/>
                <w:szCs w:val="22"/>
              </w:rPr>
            </w:pPr>
            <w:r w:rsidRPr="00BC4704">
              <w:rPr>
                <w:rFonts w:cs="Arial"/>
                <w:sz w:val="22"/>
                <w:szCs w:val="22"/>
              </w:rPr>
              <w:t xml:space="preserve">1, </w:t>
            </w:r>
            <w:r w:rsidR="00446511" w:rsidRPr="00BC4704">
              <w:rPr>
                <w:rFonts w:cs="Arial"/>
                <w:sz w:val="22"/>
                <w:szCs w:val="22"/>
              </w:rPr>
              <w:t>3, 4</w:t>
            </w:r>
          </w:p>
        </w:tc>
      </w:tr>
      <w:tr w:rsidR="00522765" w:rsidRPr="00BC4704" w14:paraId="53709D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5F208" w14:textId="52144732" w:rsidR="00522765" w:rsidRPr="00BC4704" w:rsidRDefault="00446511" w:rsidP="00522765">
            <w:pPr>
              <w:pStyle w:val="TableRow"/>
              <w:rPr>
                <w:rFonts w:cs="Arial"/>
                <w:sz w:val="22"/>
                <w:szCs w:val="22"/>
              </w:rPr>
            </w:pPr>
            <w:r w:rsidRPr="00BC4704">
              <w:rPr>
                <w:rFonts w:cs="Arial"/>
                <w:sz w:val="22"/>
                <w:szCs w:val="22"/>
              </w:rPr>
              <w:t>Continue to use programmes such as NELI in Reception and targeted vocabulary/language interventions across KS1 for PP children with low entry points.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8F94" w14:textId="0377D9A3" w:rsidR="00522765" w:rsidRPr="00BC4704" w:rsidRDefault="00446511" w:rsidP="00522765">
            <w:pPr>
              <w:pStyle w:val="TableRowCentered"/>
              <w:jc w:val="left"/>
              <w:rPr>
                <w:rFonts w:cs="Arial"/>
                <w:sz w:val="22"/>
                <w:szCs w:val="22"/>
              </w:rPr>
            </w:pPr>
            <w:r w:rsidRPr="00BC4704">
              <w:rPr>
                <w:rFonts w:cs="Arial"/>
                <w:sz w:val="22"/>
                <w:szCs w:val="22"/>
              </w:rPr>
              <w:t>EEF finds oral language interventions provide +6 months’ progress, especially for younger children. High impact when combined with reading strategies.</w:t>
            </w:r>
          </w:p>
          <w:p w14:paraId="06E2E285" w14:textId="5231EC84" w:rsidR="00522765" w:rsidRPr="00BC4704" w:rsidRDefault="00834662" w:rsidP="00522765">
            <w:pPr>
              <w:pStyle w:val="TableRowCentered"/>
              <w:jc w:val="left"/>
              <w:rPr>
                <w:rFonts w:cs="Arial"/>
                <w:sz w:val="22"/>
                <w:szCs w:val="22"/>
              </w:rPr>
            </w:pPr>
            <w:hyperlink r:id="rId17" w:history="1">
              <w:r w:rsidR="00522765" w:rsidRPr="00BC4704">
                <w:rPr>
                  <w:rStyle w:val="Hyperlink"/>
                  <w:rFonts w:cs="Arial"/>
                  <w:sz w:val="22"/>
                  <w:szCs w:val="22"/>
                </w:rPr>
                <w:t>Oral Language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8B1FA" w14:textId="7B86DD26" w:rsidR="00522765" w:rsidRPr="00BC4704" w:rsidRDefault="00446511" w:rsidP="00522765">
            <w:pPr>
              <w:pStyle w:val="TableRowCentered"/>
              <w:jc w:val="left"/>
              <w:rPr>
                <w:rFonts w:cs="Arial"/>
                <w:sz w:val="22"/>
                <w:szCs w:val="22"/>
              </w:rPr>
            </w:pPr>
            <w:r w:rsidRPr="00BC4704">
              <w:rPr>
                <w:rFonts w:cs="Arial"/>
                <w:sz w:val="22"/>
                <w:szCs w:val="22"/>
              </w:rPr>
              <w:t>2, 3, 4</w:t>
            </w:r>
          </w:p>
        </w:tc>
      </w:tr>
      <w:tr w:rsidR="00446511" w:rsidRPr="00BC4704" w14:paraId="2AAA966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9465" w14:textId="0E8DAE01" w:rsidR="00446511" w:rsidRPr="00BC4704" w:rsidRDefault="00446511" w:rsidP="00446511">
            <w:pPr>
              <w:pStyle w:val="TableRow"/>
              <w:rPr>
                <w:rFonts w:cs="Arial"/>
                <w:sz w:val="22"/>
                <w:szCs w:val="22"/>
              </w:rPr>
            </w:pPr>
            <w:r w:rsidRPr="00BC4704">
              <w:rPr>
                <w:rFonts w:cs="Arial"/>
                <w:sz w:val="22"/>
                <w:szCs w:val="22"/>
              </w:rPr>
              <w:t>Deliver targeted maths interventions for PP pupils in Years 2</w:t>
            </w:r>
            <w:r w:rsidR="006C6501">
              <w:rPr>
                <w:rFonts w:cs="Arial"/>
                <w:sz w:val="22"/>
                <w:szCs w:val="22"/>
              </w:rPr>
              <w:t>-</w:t>
            </w:r>
            <w:r w:rsidRPr="00BC4704">
              <w:rPr>
                <w:rFonts w:cs="Arial"/>
                <w:sz w:val="22"/>
                <w:szCs w:val="22"/>
              </w:rPr>
              <w:t>5 to strengthen number fluency and reasoning skills. Specific preparation support for MTC in Year 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778E" w14:textId="77777777" w:rsidR="00446511" w:rsidRPr="00BC4704" w:rsidRDefault="00446511" w:rsidP="00522765">
            <w:pPr>
              <w:pStyle w:val="TableRowCentered"/>
              <w:jc w:val="left"/>
              <w:rPr>
                <w:rFonts w:cs="Arial"/>
                <w:sz w:val="22"/>
                <w:szCs w:val="22"/>
              </w:rPr>
            </w:pPr>
            <w:r w:rsidRPr="00BC4704">
              <w:rPr>
                <w:rFonts w:cs="Arial"/>
                <w:sz w:val="22"/>
                <w:szCs w:val="22"/>
              </w:rPr>
              <w:t>EEF emphasises mastery approaches and targeted support in maths as high impact (+5 months). Focused practice in fluency improves outcomes in later problem solving.</w:t>
            </w:r>
          </w:p>
          <w:p w14:paraId="4451380E" w14:textId="192BC379" w:rsidR="007923CC" w:rsidRPr="00BC4704" w:rsidRDefault="007923CC" w:rsidP="00522765">
            <w:pPr>
              <w:pStyle w:val="TableRowCentered"/>
              <w:jc w:val="left"/>
              <w:rPr>
                <w:rFonts w:cs="Arial"/>
                <w:sz w:val="22"/>
                <w:szCs w:val="22"/>
              </w:rPr>
            </w:pPr>
            <w:hyperlink r:id="rId18" w:history="1">
              <w:r w:rsidRPr="00BC4704">
                <w:rPr>
                  <w:rStyle w:val="Hyperlink"/>
                  <w:rFonts w:cs="Arial"/>
                  <w:sz w:val="22"/>
                  <w:szCs w:val="22"/>
                </w:rPr>
                <w:t>Improving Mathematics - EEF</w:t>
              </w:r>
            </w:hyperlink>
          </w:p>
          <w:p w14:paraId="584AA8B4" w14:textId="03D959A8" w:rsidR="007923CC" w:rsidRPr="00BC4704" w:rsidRDefault="007923CC" w:rsidP="00522765">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DC34" w14:textId="77FDF949" w:rsidR="00446511" w:rsidRPr="00BC4704" w:rsidRDefault="00446511" w:rsidP="00522765">
            <w:pPr>
              <w:pStyle w:val="TableRowCentered"/>
              <w:jc w:val="left"/>
              <w:rPr>
                <w:rFonts w:cs="Arial"/>
                <w:sz w:val="22"/>
                <w:szCs w:val="22"/>
              </w:rPr>
            </w:pPr>
            <w:r w:rsidRPr="00BC4704">
              <w:rPr>
                <w:rFonts w:cs="Arial"/>
                <w:sz w:val="22"/>
                <w:szCs w:val="22"/>
              </w:rPr>
              <w:t>1, 5</w:t>
            </w:r>
          </w:p>
        </w:tc>
      </w:tr>
      <w:tr w:rsidR="00446511" w:rsidRPr="00BC4704" w14:paraId="3615E89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0E93B" w14:textId="2C604368" w:rsidR="00446511" w:rsidRPr="00BC4704" w:rsidRDefault="00446511" w:rsidP="00446511">
            <w:pPr>
              <w:pStyle w:val="TableRow"/>
              <w:rPr>
                <w:rFonts w:cs="Arial"/>
                <w:sz w:val="22"/>
                <w:szCs w:val="22"/>
              </w:rPr>
            </w:pPr>
            <w:r w:rsidRPr="00BC4704">
              <w:rPr>
                <w:rFonts w:cs="Arial"/>
                <w:sz w:val="22"/>
                <w:szCs w:val="22"/>
              </w:rPr>
              <w:t>Provide targeted small group support in guided reading, fluency practice</w:t>
            </w:r>
            <w:r w:rsidR="006C6501">
              <w:rPr>
                <w:rFonts w:cs="Arial"/>
                <w:sz w:val="22"/>
                <w:szCs w:val="22"/>
              </w:rPr>
              <w:t xml:space="preserve"> </w:t>
            </w:r>
            <w:r w:rsidRPr="00BC4704">
              <w:rPr>
                <w:rFonts w:cs="Arial"/>
                <w:sz w:val="22"/>
                <w:szCs w:val="22"/>
              </w:rPr>
              <w:t>and comprehension strategies. Ensure disadvantaged pupils are prioritised in additional reading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CCD2" w14:textId="77777777" w:rsidR="00446511" w:rsidRPr="00BC4704" w:rsidRDefault="00446511" w:rsidP="00522765">
            <w:pPr>
              <w:pStyle w:val="TableRowCentered"/>
              <w:jc w:val="left"/>
              <w:rPr>
                <w:rFonts w:cs="Arial"/>
                <w:sz w:val="22"/>
                <w:szCs w:val="22"/>
              </w:rPr>
            </w:pPr>
            <w:r w:rsidRPr="00BC4704">
              <w:rPr>
                <w:rFonts w:cs="Arial"/>
                <w:sz w:val="22"/>
                <w:szCs w:val="22"/>
              </w:rPr>
              <w:t>EEF finds reading comprehension strategies have a high impact (+6 months). Fluency interventions are also effective for pupils struggling with pace and accuracy.</w:t>
            </w:r>
          </w:p>
          <w:p w14:paraId="3B607285" w14:textId="4435A1C6" w:rsidR="007923CC" w:rsidRPr="00BC4704" w:rsidRDefault="007923CC" w:rsidP="00522765">
            <w:pPr>
              <w:pStyle w:val="TableRowCentered"/>
              <w:jc w:val="left"/>
              <w:rPr>
                <w:rFonts w:cs="Arial"/>
                <w:sz w:val="22"/>
                <w:szCs w:val="22"/>
              </w:rPr>
            </w:pPr>
            <w:hyperlink r:id="rId19" w:history="1">
              <w:r w:rsidRPr="00BC4704">
                <w:rPr>
                  <w:rStyle w:val="Hyperlink"/>
                  <w:rFonts w:cs="Arial"/>
                  <w:sz w:val="22"/>
                  <w:szCs w:val="22"/>
                </w:rPr>
                <w:t>Reading Comprehension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3C58" w14:textId="0998D440" w:rsidR="00446511" w:rsidRPr="00BC4704" w:rsidRDefault="00446511" w:rsidP="00522765">
            <w:pPr>
              <w:pStyle w:val="TableRowCentered"/>
              <w:jc w:val="left"/>
              <w:rPr>
                <w:rFonts w:cs="Arial"/>
                <w:sz w:val="22"/>
                <w:szCs w:val="22"/>
              </w:rPr>
            </w:pPr>
            <w:r w:rsidRPr="00BC4704">
              <w:rPr>
                <w:rFonts w:cs="Arial"/>
                <w:sz w:val="22"/>
                <w:szCs w:val="22"/>
              </w:rPr>
              <w:t>1, 4</w:t>
            </w:r>
          </w:p>
        </w:tc>
      </w:tr>
      <w:tr w:rsidR="00446511" w:rsidRPr="00BC4704" w14:paraId="70FAB4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1C9EF" w14:textId="067B7DDF" w:rsidR="00446511" w:rsidRPr="00BC4704" w:rsidRDefault="00446511" w:rsidP="00446511">
            <w:pPr>
              <w:pStyle w:val="TableRow"/>
              <w:rPr>
                <w:rFonts w:cs="Arial"/>
                <w:sz w:val="22"/>
                <w:szCs w:val="22"/>
              </w:rPr>
            </w:pPr>
            <w:r w:rsidRPr="00BC4704">
              <w:rPr>
                <w:rFonts w:cs="Arial"/>
                <w:sz w:val="22"/>
                <w:szCs w:val="22"/>
              </w:rPr>
              <w:t>Run targeted small group writing interventions (e.g., sentence construction, editing skills) and continue handwriting practice groups using ULS.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10C7" w14:textId="77777777" w:rsidR="00446511" w:rsidRPr="00BC4704" w:rsidRDefault="00446511" w:rsidP="00522765">
            <w:pPr>
              <w:pStyle w:val="TableRowCentered"/>
              <w:jc w:val="left"/>
              <w:rPr>
                <w:rFonts w:cs="Arial"/>
                <w:sz w:val="22"/>
                <w:szCs w:val="22"/>
              </w:rPr>
            </w:pPr>
            <w:r w:rsidRPr="00BC4704">
              <w:rPr>
                <w:rFonts w:cs="Arial"/>
                <w:sz w:val="22"/>
                <w:szCs w:val="22"/>
              </w:rPr>
              <w:t>EEF highlights that combining explicit teaching of writing with feedback and modelling provides +4 months progress.</w:t>
            </w:r>
          </w:p>
          <w:p w14:paraId="7A0A74A3" w14:textId="77777777" w:rsidR="00834662" w:rsidRPr="00BC4704" w:rsidRDefault="00834662" w:rsidP="00834662">
            <w:pPr>
              <w:pStyle w:val="TableRowCentered"/>
              <w:jc w:val="left"/>
              <w:rPr>
                <w:rFonts w:cs="Arial"/>
                <w:sz w:val="22"/>
                <w:szCs w:val="22"/>
              </w:rPr>
            </w:pPr>
            <w:hyperlink r:id="rId20" w:history="1">
              <w:r w:rsidRPr="00BC4704">
                <w:rPr>
                  <w:rStyle w:val="Hyperlink"/>
                  <w:rFonts w:cs="Arial"/>
                  <w:sz w:val="22"/>
                  <w:szCs w:val="22"/>
                </w:rPr>
                <w:t>Craft of Writing - EEF</w:t>
              </w:r>
            </w:hyperlink>
          </w:p>
          <w:p w14:paraId="3FBCB057" w14:textId="731A4B27" w:rsidR="00834662" w:rsidRPr="00BC4704" w:rsidRDefault="00834662" w:rsidP="00522765">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BD44" w14:textId="39842B74" w:rsidR="00446511" w:rsidRPr="00BC4704" w:rsidRDefault="00446511" w:rsidP="00522765">
            <w:pPr>
              <w:pStyle w:val="TableRowCentered"/>
              <w:jc w:val="left"/>
              <w:rPr>
                <w:rFonts w:cs="Arial"/>
                <w:sz w:val="22"/>
                <w:szCs w:val="22"/>
              </w:rPr>
            </w:pPr>
            <w:r w:rsidRPr="00BC4704">
              <w:rPr>
                <w:rFonts w:cs="Arial"/>
                <w:sz w:val="22"/>
                <w:szCs w:val="22"/>
              </w:rPr>
              <w:t>4, 5</w:t>
            </w:r>
          </w:p>
        </w:tc>
      </w:tr>
      <w:tr w:rsidR="00446511" w:rsidRPr="00BC4704" w14:paraId="69412BD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8709" w14:textId="43DA615A" w:rsidR="00446511" w:rsidRPr="00BC4704" w:rsidRDefault="00446511" w:rsidP="00446511">
            <w:pPr>
              <w:pStyle w:val="TableRow"/>
              <w:rPr>
                <w:rFonts w:cs="Arial"/>
                <w:sz w:val="22"/>
                <w:szCs w:val="22"/>
              </w:rPr>
            </w:pPr>
            <w:r w:rsidRPr="00BC4704">
              <w:rPr>
                <w:rFonts w:cs="Arial"/>
                <w:sz w:val="22"/>
                <w:szCs w:val="22"/>
              </w:rPr>
              <w:t>Provide small-group and 1:1 SEMH support (e.g. nurture groups, ELSA-style interventions). Link strategies directly to improving learning behaviours in class.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C0A8" w14:textId="77777777" w:rsidR="00446511" w:rsidRPr="00BC4704" w:rsidRDefault="00446511" w:rsidP="00522765">
            <w:pPr>
              <w:pStyle w:val="TableRowCentered"/>
              <w:jc w:val="left"/>
              <w:rPr>
                <w:rFonts w:cs="Arial"/>
                <w:sz w:val="22"/>
                <w:szCs w:val="22"/>
              </w:rPr>
            </w:pPr>
            <w:r w:rsidRPr="00BC4704">
              <w:rPr>
                <w:rFonts w:cs="Arial"/>
                <w:sz w:val="22"/>
                <w:szCs w:val="22"/>
              </w:rPr>
              <w:t>Social and Emotional Learning interventions add +4 months progress. Pupils who receive SEMH support are better able to access academic learning.</w:t>
            </w:r>
          </w:p>
          <w:p w14:paraId="7FA44F30" w14:textId="379EE54A" w:rsidR="00834662" w:rsidRPr="00BC4704" w:rsidRDefault="00834662" w:rsidP="00522765">
            <w:pPr>
              <w:pStyle w:val="TableRowCentered"/>
              <w:jc w:val="left"/>
              <w:rPr>
                <w:rFonts w:cs="Arial"/>
                <w:sz w:val="22"/>
                <w:szCs w:val="22"/>
              </w:rPr>
            </w:pPr>
            <w:hyperlink r:id="rId21" w:history="1">
              <w:r w:rsidRPr="00BC4704">
                <w:rPr>
                  <w:rStyle w:val="Hyperlink"/>
                  <w:rFonts w:cs="Arial"/>
                  <w:sz w:val="22"/>
                  <w:szCs w:val="22"/>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EC6E" w14:textId="53272F00" w:rsidR="00446511" w:rsidRPr="00BC4704" w:rsidRDefault="00446511" w:rsidP="00522765">
            <w:pPr>
              <w:pStyle w:val="TableRowCentered"/>
              <w:jc w:val="left"/>
              <w:rPr>
                <w:rFonts w:cs="Arial"/>
                <w:sz w:val="22"/>
                <w:szCs w:val="22"/>
              </w:rPr>
            </w:pPr>
            <w:r w:rsidRPr="00BC4704">
              <w:rPr>
                <w:rFonts w:cs="Arial"/>
                <w:sz w:val="22"/>
                <w:szCs w:val="22"/>
              </w:rPr>
              <w:t>6, 7</w:t>
            </w:r>
          </w:p>
        </w:tc>
      </w:tr>
    </w:tbl>
    <w:p w14:paraId="2A7D5531" w14:textId="77777777" w:rsidR="00E66558" w:rsidRPr="00BC4704" w:rsidRDefault="00E66558">
      <w:pPr>
        <w:spacing w:after="0"/>
        <w:rPr>
          <w:rFonts w:cs="Arial"/>
          <w:b/>
          <w:color w:val="104F75"/>
          <w:sz w:val="22"/>
          <w:szCs w:val="22"/>
        </w:rPr>
      </w:pPr>
    </w:p>
    <w:p w14:paraId="1F4E82E3" w14:textId="77777777" w:rsidR="00F4135A" w:rsidRDefault="00F4135A">
      <w:pPr>
        <w:rPr>
          <w:rFonts w:cs="Arial"/>
          <w:b/>
          <w:color w:val="104F75"/>
          <w:sz w:val="22"/>
          <w:szCs w:val="22"/>
        </w:rPr>
      </w:pPr>
    </w:p>
    <w:p w14:paraId="76D12F9A" w14:textId="77777777" w:rsidR="00F4135A" w:rsidRDefault="00F4135A">
      <w:pPr>
        <w:rPr>
          <w:rFonts w:cs="Arial"/>
          <w:b/>
          <w:color w:val="104F75"/>
          <w:sz w:val="22"/>
          <w:szCs w:val="22"/>
        </w:rPr>
      </w:pPr>
    </w:p>
    <w:p w14:paraId="1CAC536A" w14:textId="77777777" w:rsidR="00F4135A" w:rsidRDefault="00F4135A">
      <w:pPr>
        <w:rPr>
          <w:rFonts w:cs="Arial"/>
          <w:b/>
          <w:color w:val="104F75"/>
          <w:sz w:val="22"/>
          <w:szCs w:val="22"/>
        </w:rPr>
      </w:pPr>
    </w:p>
    <w:p w14:paraId="2A7D5532" w14:textId="521C2460" w:rsidR="00E66558" w:rsidRPr="00BC4704" w:rsidRDefault="009D71E8">
      <w:pPr>
        <w:rPr>
          <w:rFonts w:cs="Arial"/>
          <w:b/>
          <w:color w:val="104F75"/>
          <w:sz w:val="22"/>
          <w:szCs w:val="22"/>
        </w:rPr>
      </w:pPr>
      <w:r w:rsidRPr="00BC4704">
        <w:rPr>
          <w:rFonts w:cs="Arial"/>
          <w:b/>
          <w:color w:val="104F75"/>
          <w:sz w:val="22"/>
          <w:szCs w:val="22"/>
        </w:rPr>
        <w:lastRenderedPageBreak/>
        <w:t>Wider strategies (for example, related to attendance, behaviour, wellbeing)</w:t>
      </w:r>
    </w:p>
    <w:p w14:paraId="2A7D5533" w14:textId="3A8AB057" w:rsidR="00E66558" w:rsidRPr="00BC4704" w:rsidRDefault="009D71E8">
      <w:pPr>
        <w:spacing w:before="240" w:after="120"/>
        <w:rPr>
          <w:rFonts w:cs="Arial"/>
          <w:color w:val="0070C0"/>
          <w:sz w:val="22"/>
          <w:szCs w:val="22"/>
        </w:rPr>
      </w:pPr>
      <w:r w:rsidRPr="00BC4704">
        <w:rPr>
          <w:rFonts w:cs="Arial"/>
          <w:sz w:val="22"/>
          <w:szCs w:val="22"/>
        </w:rPr>
        <w:t xml:space="preserve">Budgeted cost: </w:t>
      </w:r>
      <w:r w:rsidR="00EF49DC">
        <w:rPr>
          <w:rFonts w:cs="Arial"/>
          <w:sz w:val="22"/>
          <w:szCs w:val="22"/>
        </w:rPr>
        <w:t>£30,300</w:t>
      </w:r>
      <w:bookmarkStart w:id="17" w:name="_GoBack"/>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BC4704"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BC4704" w:rsidRDefault="009D71E8">
            <w:pPr>
              <w:pStyle w:val="TableHeader"/>
              <w:jc w:val="left"/>
              <w:rPr>
                <w:rFonts w:cs="Arial"/>
                <w:sz w:val="22"/>
                <w:szCs w:val="22"/>
              </w:rPr>
            </w:pPr>
            <w:r w:rsidRPr="00BC4704">
              <w:rPr>
                <w:rFonts w:cs="Arial"/>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BC4704" w:rsidRDefault="009D71E8">
            <w:pPr>
              <w:pStyle w:val="TableHeader"/>
              <w:jc w:val="left"/>
              <w:rPr>
                <w:rFonts w:cs="Arial"/>
                <w:sz w:val="22"/>
                <w:szCs w:val="22"/>
              </w:rPr>
            </w:pPr>
            <w:r w:rsidRPr="00BC4704">
              <w:rPr>
                <w:rFonts w:cs="Arial"/>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BC4704" w:rsidRDefault="009D71E8">
            <w:pPr>
              <w:pStyle w:val="TableHeader"/>
              <w:jc w:val="left"/>
              <w:rPr>
                <w:rFonts w:cs="Arial"/>
                <w:sz w:val="22"/>
                <w:szCs w:val="22"/>
              </w:rPr>
            </w:pPr>
            <w:r w:rsidRPr="00BC4704">
              <w:rPr>
                <w:rFonts w:cs="Arial"/>
                <w:sz w:val="22"/>
                <w:szCs w:val="22"/>
              </w:rPr>
              <w:t>Challenge number(s) addressed</w:t>
            </w:r>
          </w:p>
        </w:tc>
      </w:tr>
      <w:tr w:rsidR="00E66558" w:rsidRPr="00BC4704"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FAF07A3" w:rsidR="00E66558" w:rsidRPr="00BC4704" w:rsidRDefault="007923CC">
            <w:pPr>
              <w:pStyle w:val="TableRow"/>
              <w:rPr>
                <w:rFonts w:cs="Arial"/>
                <w:sz w:val="22"/>
                <w:szCs w:val="22"/>
              </w:rPr>
            </w:pPr>
            <w:r w:rsidRPr="00BC4704">
              <w:rPr>
                <w:rFonts w:cs="Arial"/>
                <w:sz w:val="22"/>
                <w:szCs w:val="22"/>
              </w:rPr>
              <w:t>Attendance Lead and Family Support Worker to track and support PP families with attendance and punctuality. Early intervention with families at risk of persistent absence. Incentives and recognition schemes to encourage good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A64D" w14:textId="1D7D913B" w:rsidR="007923CC" w:rsidRPr="00BC4704" w:rsidRDefault="007923CC">
            <w:pPr>
              <w:pStyle w:val="TableRowCentered"/>
              <w:jc w:val="left"/>
              <w:rPr>
                <w:rFonts w:cs="Arial"/>
                <w:sz w:val="22"/>
                <w:szCs w:val="22"/>
              </w:rPr>
            </w:pPr>
            <w:r w:rsidRPr="00BC4704">
              <w:rPr>
                <w:rFonts w:cs="Arial"/>
                <w:sz w:val="22"/>
                <w:szCs w:val="22"/>
              </w:rPr>
              <w:t>The DfE highlights that good attendance is strongly linked to higher attainment. Early identification and support for persistent absentees is most effective.</w:t>
            </w:r>
          </w:p>
          <w:p w14:paraId="529BD26D" w14:textId="77777777" w:rsidR="00834662" w:rsidRPr="00BC4704" w:rsidRDefault="00834662" w:rsidP="00834662">
            <w:pPr>
              <w:pStyle w:val="TableRowCentered"/>
              <w:jc w:val="left"/>
              <w:rPr>
                <w:rFonts w:cs="Arial"/>
                <w:sz w:val="22"/>
                <w:szCs w:val="22"/>
              </w:rPr>
            </w:pPr>
            <w:hyperlink r:id="rId22" w:history="1">
              <w:r w:rsidRPr="00BC4704">
                <w:rPr>
                  <w:rStyle w:val="Hyperlink"/>
                  <w:rFonts w:cs="Arial"/>
                  <w:sz w:val="22"/>
                  <w:szCs w:val="22"/>
                </w:rPr>
                <w:t>Parental Engagement - EEF</w:t>
              </w:r>
            </w:hyperlink>
          </w:p>
          <w:p w14:paraId="347769F4" w14:textId="77777777" w:rsidR="003F7E0D" w:rsidRPr="00BC4704" w:rsidRDefault="003F7E0D">
            <w:pPr>
              <w:pStyle w:val="TableRowCentered"/>
              <w:jc w:val="left"/>
              <w:rPr>
                <w:rFonts w:cs="Arial"/>
                <w:sz w:val="22"/>
                <w:szCs w:val="22"/>
              </w:rPr>
            </w:pPr>
          </w:p>
          <w:p w14:paraId="2A7D5539" w14:textId="21794D26" w:rsidR="003F7E0D" w:rsidRPr="00BC4704" w:rsidRDefault="003F7E0D">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3049CFC" w:rsidR="00E66558" w:rsidRPr="00BC4704" w:rsidRDefault="007923CC">
            <w:pPr>
              <w:pStyle w:val="TableRowCentered"/>
              <w:jc w:val="left"/>
              <w:rPr>
                <w:rFonts w:cs="Arial"/>
                <w:sz w:val="22"/>
                <w:szCs w:val="22"/>
              </w:rPr>
            </w:pPr>
            <w:r w:rsidRPr="00BC4704">
              <w:rPr>
                <w:rFonts w:cs="Arial"/>
                <w:sz w:val="22"/>
                <w:szCs w:val="22"/>
              </w:rPr>
              <w:t>1, 6</w:t>
            </w:r>
          </w:p>
        </w:tc>
      </w:tr>
      <w:tr w:rsidR="007923CC" w:rsidRPr="00BC4704" w14:paraId="0D35EC9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0F288" w14:textId="1A559265" w:rsidR="007923CC" w:rsidRPr="00BC4704" w:rsidRDefault="007923CC">
            <w:pPr>
              <w:pStyle w:val="TableRow"/>
              <w:rPr>
                <w:rFonts w:cs="Arial"/>
                <w:sz w:val="22"/>
                <w:szCs w:val="22"/>
              </w:rPr>
            </w:pPr>
            <w:r w:rsidRPr="00BC4704">
              <w:rPr>
                <w:rFonts w:cs="Arial"/>
                <w:sz w:val="22"/>
                <w:szCs w:val="22"/>
              </w:rPr>
              <w:t>Family Support Worker (FSW) to provide ongoing support to disadvantaged families. Use "Keep in Touch" channel for confidential enquiries. Regular communication with parents around attendance, wellbeing</w:t>
            </w:r>
            <w:r w:rsidR="00984278">
              <w:rPr>
                <w:rFonts w:cs="Arial"/>
                <w:sz w:val="22"/>
                <w:szCs w:val="22"/>
              </w:rPr>
              <w:t xml:space="preserve"> </w:t>
            </w:r>
            <w:r w:rsidRPr="00BC4704">
              <w:rPr>
                <w:rFonts w:cs="Arial"/>
                <w:sz w:val="22"/>
                <w:szCs w:val="22"/>
              </w:rPr>
              <w:t>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0AD7" w14:textId="3EE4861A" w:rsidR="007923CC" w:rsidRPr="00BC4704" w:rsidRDefault="007923CC" w:rsidP="00834662">
            <w:pPr>
              <w:pStyle w:val="TableRowCentered"/>
              <w:jc w:val="left"/>
              <w:rPr>
                <w:rFonts w:cs="Arial"/>
                <w:sz w:val="22"/>
                <w:szCs w:val="22"/>
              </w:rPr>
            </w:pPr>
            <w:r w:rsidRPr="00BC4704">
              <w:rPr>
                <w:rFonts w:cs="Arial"/>
                <w:sz w:val="22"/>
                <w:szCs w:val="22"/>
              </w:rPr>
              <w:t xml:space="preserve">EEF notes that parental engagement has </w:t>
            </w:r>
            <w:r w:rsidRPr="00BC4704">
              <w:rPr>
                <w:rStyle w:val="Emphasis"/>
                <w:rFonts w:cs="Arial"/>
                <w:sz w:val="22"/>
                <w:szCs w:val="22"/>
              </w:rPr>
              <w:t>moderate impact</w:t>
            </w:r>
            <w:r w:rsidRPr="00BC4704">
              <w:rPr>
                <w:rFonts w:cs="Arial"/>
                <w:sz w:val="22"/>
                <w:szCs w:val="22"/>
              </w:rPr>
              <w:t xml:space="preserve"> (+4 months), especially when focused on supporting learning at home.</w:t>
            </w:r>
          </w:p>
          <w:p w14:paraId="28995D93" w14:textId="77777777" w:rsidR="007923CC" w:rsidRPr="00BC4704" w:rsidRDefault="007923CC" w:rsidP="007923CC">
            <w:pPr>
              <w:pStyle w:val="TableRowCentered"/>
              <w:jc w:val="left"/>
              <w:rPr>
                <w:rFonts w:cs="Arial"/>
                <w:sz w:val="22"/>
                <w:szCs w:val="22"/>
              </w:rPr>
            </w:pPr>
            <w:hyperlink r:id="rId23" w:history="1">
              <w:r w:rsidRPr="00BC4704">
                <w:rPr>
                  <w:rStyle w:val="Hyperlink"/>
                  <w:rFonts w:cs="Arial"/>
                  <w:sz w:val="22"/>
                  <w:szCs w:val="22"/>
                </w:rPr>
                <w:t>Parental Engagement - EEF</w:t>
              </w:r>
            </w:hyperlink>
          </w:p>
          <w:p w14:paraId="5A632543" w14:textId="77777777" w:rsidR="007923CC" w:rsidRPr="00BC4704" w:rsidRDefault="007923CC">
            <w:pPr>
              <w:pStyle w:val="TableRowCentered"/>
              <w:jc w:val="left"/>
              <w:rPr>
                <w:rFonts w:cs="Arial"/>
                <w:sz w:val="22"/>
                <w:szCs w:val="22"/>
              </w:rPr>
            </w:pPr>
          </w:p>
          <w:p w14:paraId="09F52673" w14:textId="6AD0E221" w:rsidR="007923CC" w:rsidRPr="00BC4704" w:rsidRDefault="007923CC">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B17E" w14:textId="69E69494" w:rsidR="007923CC" w:rsidRPr="00BC4704" w:rsidRDefault="007923CC">
            <w:pPr>
              <w:pStyle w:val="TableRowCentered"/>
              <w:jc w:val="left"/>
              <w:rPr>
                <w:rFonts w:cs="Arial"/>
                <w:sz w:val="22"/>
                <w:szCs w:val="22"/>
              </w:rPr>
            </w:pPr>
            <w:r w:rsidRPr="00BC4704">
              <w:rPr>
                <w:rFonts w:cs="Arial"/>
                <w:sz w:val="22"/>
                <w:szCs w:val="22"/>
              </w:rPr>
              <w:t>6, 7</w:t>
            </w:r>
          </w:p>
        </w:tc>
      </w:tr>
      <w:tr w:rsidR="00E66558" w:rsidRPr="00BC4704"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E43DF69" w:rsidR="00E66558" w:rsidRPr="00BC4704" w:rsidRDefault="007923CC">
            <w:pPr>
              <w:pStyle w:val="TableRow"/>
              <w:rPr>
                <w:rFonts w:cs="Arial"/>
                <w:sz w:val="22"/>
                <w:szCs w:val="22"/>
              </w:rPr>
            </w:pPr>
            <w:r w:rsidRPr="00BC4704">
              <w:rPr>
                <w:rFonts w:cs="Arial"/>
                <w:sz w:val="22"/>
                <w:szCs w:val="22"/>
              </w:rPr>
              <w:t>Fund access to enrichment activities, clubs, music, trips, residentials and Forest School to ensure disadvantaged pupils have equal opportunities to broaden experiences, build social skills and develop cultural capital.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7B53" w14:textId="37069A86" w:rsidR="003F7E0D" w:rsidRPr="00BC4704" w:rsidRDefault="007923CC">
            <w:pPr>
              <w:pStyle w:val="TableRowCentered"/>
              <w:jc w:val="left"/>
              <w:rPr>
                <w:rFonts w:cs="Arial"/>
                <w:sz w:val="22"/>
                <w:szCs w:val="22"/>
              </w:rPr>
            </w:pPr>
            <w:r w:rsidRPr="00BC4704">
              <w:rPr>
                <w:rFonts w:cs="Arial"/>
                <w:sz w:val="22"/>
                <w:szCs w:val="22"/>
              </w:rPr>
              <w:t>Research shows that access to enrichment (clubs, trips, cultural capital, outdoor learning) improves confidence, motivation and engagement, particularly for disadvantaged pupils. Forest School approaches are linked with improved resilience, independence and wellbeing.</w:t>
            </w:r>
          </w:p>
          <w:p w14:paraId="3F7B246C" w14:textId="67F97C49" w:rsidR="003F7E0D" w:rsidRPr="00BC4704" w:rsidRDefault="00834662">
            <w:pPr>
              <w:pStyle w:val="TableRowCentered"/>
              <w:jc w:val="left"/>
              <w:rPr>
                <w:rFonts w:cs="Arial"/>
                <w:sz w:val="22"/>
                <w:szCs w:val="22"/>
              </w:rPr>
            </w:pPr>
            <w:hyperlink r:id="rId24" w:history="1">
              <w:r w:rsidR="003F7E0D" w:rsidRPr="00BC4704">
                <w:rPr>
                  <w:rStyle w:val="Hyperlink"/>
                  <w:rFonts w:cs="Arial"/>
                  <w:sz w:val="22"/>
                  <w:szCs w:val="22"/>
                </w:rPr>
                <w:t>Forest School</w:t>
              </w:r>
            </w:hyperlink>
          </w:p>
          <w:p w14:paraId="6921DE73" w14:textId="669353BB" w:rsidR="003F7E0D" w:rsidRPr="00BC4704" w:rsidRDefault="003F7E0D">
            <w:pPr>
              <w:pStyle w:val="TableRowCentered"/>
              <w:jc w:val="left"/>
              <w:rPr>
                <w:rFonts w:cs="Arial"/>
                <w:sz w:val="22"/>
                <w:szCs w:val="22"/>
              </w:rPr>
            </w:pPr>
          </w:p>
          <w:p w14:paraId="1D00734D" w14:textId="33EA29F7" w:rsidR="003F7E0D" w:rsidRPr="00BC4704" w:rsidRDefault="00834662">
            <w:pPr>
              <w:pStyle w:val="TableRowCentered"/>
              <w:jc w:val="left"/>
              <w:rPr>
                <w:rFonts w:cs="Arial"/>
                <w:sz w:val="22"/>
                <w:szCs w:val="22"/>
              </w:rPr>
            </w:pPr>
            <w:hyperlink r:id="rId25" w:history="1">
              <w:r w:rsidR="003F7E0D" w:rsidRPr="00BC4704">
                <w:rPr>
                  <w:rStyle w:val="Hyperlink"/>
                  <w:rFonts w:cs="Arial"/>
                  <w:sz w:val="22"/>
                  <w:szCs w:val="22"/>
                </w:rPr>
                <w:t>Leuven Scale</w:t>
              </w:r>
            </w:hyperlink>
          </w:p>
          <w:p w14:paraId="453EEA80" w14:textId="77777777" w:rsidR="003F7E0D" w:rsidRPr="00BC4704" w:rsidRDefault="003F7E0D">
            <w:pPr>
              <w:pStyle w:val="TableRowCentered"/>
              <w:jc w:val="left"/>
              <w:rPr>
                <w:rFonts w:cs="Arial"/>
                <w:sz w:val="22"/>
                <w:szCs w:val="22"/>
              </w:rPr>
            </w:pPr>
          </w:p>
          <w:p w14:paraId="2A7D553D" w14:textId="2496B8DE" w:rsidR="00E66558" w:rsidRPr="00BC4704" w:rsidRDefault="00834662">
            <w:pPr>
              <w:pStyle w:val="TableRowCentered"/>
              <w:jc w:val="left"/>
              <w:rPr>
                <w:rFonts w:cs="Arial"/>
                <w:sz w:val="22"/>
                <w:szCs w:val="22"/>
              </w:rPr>
            </w:pPr>
            <w:hyperlink r:id="rId26" w:history="1">
              <w:r w:rsidR="003F7E0D" w:rsidRPr="00BC4704">
                <w:rPr>
                  <w:rStyle w:val="Hyperlink"/>
                  <w:rFonts w:cs="Arial"/>
                  <w:sz w:val="22"/>
                  <w:szCs w:val="22"/>
                </w:rPr>
                <w:t>Physical Activity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598CA91" w:rsidR="00E66558" w:rsidRPr="00BC4704" w:rsidRDefault="000F568C">
            <w:pPr>
              <w:pStyle w:val="TableRowCentered"/>
              <w:jc w:val="left"/>
              <w:rPr>
                <w:rFonts w:cs="Arial"/>
                <w:sz w:val="22"/>
                <w:szCs w:val="22"/>
              </w:rPr>
            </w:pPr>
            <w:r w:rsidRPr="00BC4704">
              <w:rPr>
                <w:rFonts w:cs="Arial"/>
                <w:sz w:val="22"/>
                <w:szCs w:val="22"/>
              </w:rPr>
              <w:t xml:space="preserve">1, 2, 3, 4, 5, </w:t>
            </w:r>
          </w:p>
        </w:tc>
      </w:tr>
      <w:tr w:rsidR="007923CC" w:rsidRPr="00BC4704" w14:paraId="149EBB5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A268" w14:textId="7D487BA1" w:rsidR="007923CC" w:rsidRPr="00BC4704" w:rsidRDefault="007923CC">
            <w:pPr>
              <w:pStyle w:val="TableRow"/>
              <w:rPr>
                <w:rFonts w:cs="Arial"/>
                <w:sz w:val="22"/>
                <w:szCs w:val="22"/>
              </w:rPr>
            </w:pPr>
            <w:r w:rsidRPr="00BC4704">
              <w:rPr>
                <w:rFonts w:cs="Arial"/>
                <w:sz w:val="22"/>
                <w:szCs w:val="22"/>
              </w:rPr>
              <w:t xml:space="preserve">Provide SEMH interventions for disadvantaged pupils, including small group and 1:1 nurture provision. Clear referral pathways for external support. Training for </w:t>
            </w:r>
            <w:r w:rsidRPr="00BC4704">
              <w:rPr>
                <w:rFonts w:cs="Arial"/>
                <w:sz w:val="22"/>
                <w:szCs w:val="22"/>
              </w:rPr>
              <w:lastRenderedPageBreak/>
              <w:t>staff to embed trauma-informed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0D0F" w14:textId="77777777" w:rsidR="007923CC" w:rsidRPr="00BC4704" w:rsidRDefault="007923CC">
            <w:pPr>
              <w:pStyle w:val="TableRowCentered"/>
              <w:jc w:val="left"/>
              <w:rPr>
                <w:rFonts w:cs="Arial"/>
                <w:sz w:val="22"/>
                <w:szCs w:val="22"/>
              </w:rPr>
            </w:pPr>
            <w:r w:rsidRPr="00BC4704">
              <w:rPr>
                <w:rFonts w:cs="Arial"/>
                <w:sz w:val="22"/>
                <w:szCs w:val="22"/>
              </w:rPr>
              <w:lastRenderedPageBreak/>
              <w:t>EEF finds that social and emotional learning interventions improve outcomes by +4 months. Access to structured SEMH support helps reduce barriers to learning.</w:t>
            </w:r>
          </w:p>
          <w:p w14:paraId="7D2E5E72" w14:textId="2BE5B092" w:rsidR="00834662" w:rsidRPr="00BC4704" w:rsidRDefault="00834662">
            <w:pPr>
              <w:pStyle w:val="TableRowCentered"/>
              <w:jc w:val="left"/>
              <w:rPr>
                <w:rFonts w:cs="Arial"/>
                <w:sz w:val="22"/>
                <w:szCs w:val="22"/>
              </w:rPr>
            </w:pPr>
            <w:hyperlink r:id="rId27" w:history="1">
              <w:r w:rsidRPr="00BC4704">
                <w:rPr>
                  <w:rStyle w:val="Hyperlink"/>
                  <w:rFonts w:cs="Arial"/>
                  <w:sz w:val="22"/>
                  <w:szCs w:val="22"/>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467A" w14:textId="647BF8AD" w:rsidR="007923CC" w:rsidRPr="00BC4704" w:rsidRDefault="007923CC">
            <w:pPr>
              <w:pStyle w:val="TableRowCentered"/>
              <w:jc w:val="left"/>
              <w:rPr>
                <w:rFonts w:cs="Arial"/>
                <w:sz w:val="22"/>
                <w:szCs w:val="22"/>
              </w:rPr>
            </w:pPr>
            <w:r w:rsidRPr="00BC4704">
              <w:rPr>
                <w:rFonts w:cs="Arial"/>
                <w:sz w:val="22"/>
                <w:szCs w:val="22"/>
              </w:rPr>
              <w:t>7</w:t>
            </w:r>
          </w:p>
        </w:tc>
      </w:tr>
      <w:tr w:rsidR="007923CC" w:rsidRPr="00BC4704" w14:paraId="07BF1FB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C672" w14:textId="3F04313C" w:rsidR="007923CC" w:rsidRPr="00BC4704" w:rsidRDefault="007923CC" w:rsidP="007923CC">
            <w:pPr>
              <w:pStyle w:val="NormalWeb"/>
              <w:rPr>
                <w:rFonts w:ascii="Arial" w:hAnsi="Arial" w:cs="Arial"/>
                <w:sz w:val="22"/>
                <w:szCs w:val="22"/>
              </w:rPr>
            </w:pPr>
            <w:r w:rsidRPr="00BC4704">
              <w:rPr>
                <w:rFonts w:ascii="Arial" w:hAnsi="Arial" w:cs="Arial"/>
                <w:sz w:val="22"/>
                <w:szCs w:val="22"/>
              </w:rPr>
              <w:t>Support PP families with access to online learning platforms (e.g. Reading Log, online maths practice). Provide guidance to parents to support effective home learning.</w:t>
            </w:r>
          </w:p>
          <w:p w14:paraId="174B6332" w14:textId="0889DC31" w:rsidR="007923CC" w:rsidRPr="00BC4704" w:rsidRDefault="007923CC" w:rsidP="007923CC">
            <w:pPr>
              <w:pStyle w:val="TableRow"/>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2BCD" w14:textId="77777777" w:rsidR="007923CC" w:rsidRPr="00BC4704" w:rsidRDefault="007923CC">
            <w:pPr>
              <w:pStyle w:val="TableRowCentered"/>
              <w:jc w:val="left"/>
              <w:rPr>
                <w:rFonts w:cs="Arial"/>
                <w:sz w:val="22"/>
                <w:szCs w:val="22"/>
              </w:rPr>
            </w:pPr>
            <w:r w:rsidRPr="00BC4704">
              <w:rPr>
                <w:rFonts w:cs="Arial"/>
                <w:sz w:val="22"/>
                <w:szCs w:val="22"/>
              </w:rPr>
              <w:t>EEF states that digital technology can support learning (+4 months) if integrated into teaching and supported by staff/parents.</w:t>
            </w:r>
          </w:p>
          <w:p w14:paraId="4229390D" w14:textId="498E759A" w:rsidR="00834662" w:rsidRPr="00BC4704" w:rsidRDefault="00834662">
            <w:pPr>
              <w:pStyle w:val="TableRowCentered"/>
              <w:jc w:val="left"/>
              <w:rPr>
                <w:rFonts w:cs="Arial"/>
                <w:sz w:val="22"/>
                <w:szCs w:val="22"/>
              </w:rPr>
            </w:pPr>
            <w:hyperlink r:id="rId28" w:history="1">
              <w:r w:rsidRPr="00BC4704">
                <w:rPr>
                  <w:rStyle w:val="Hyperlink"/>
                  <w:rFonts w:cs="Arial"/>
                  <w:sz w:val="22"/>
                  <w:szCs w:val="22"/>
                </w:rPr>
                <w:t>Digital Technology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E70EE" w14:textId="6C3E19BA" w:rsidR="007923CC" w:rsidRPr="00BC4704" w:rsidRDefault="007923CC">
            <w:pPr>
              <w:pStyle w:val="TableRowCentered"/>
              <w:jc w:val="left"/>
              <w:rPr>
                <w:rFonts w:cs="Arial"/>
                <w:sz w:val="22"/>
                <w:szCs w:val="22"/>
              </w:rPr>
            </w:pPr>
            <w:r w:rsidRPr="00BC4704">
              <w:rPr>
                <w:rFonts w:cs="Arial"/>
                <w:sz w:val="22"/>
                <w:szCs w:val="22"/>
              </w:rPr>
              <w:t>1, 3, 4</w:t>
            </w:r>
          </w:p>
        </w:tc>
      </w:tr>
      <w:tr w:rsidR="007923CC" w:rsidRPr="00BC4704" w14:paraId="49FED57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91EF" w14:textId="328ADE5C" w:rsidR="007923CC" w:rsidRPr="00BC4704" w:rsidRDefault="007923CC" w:rsidP="007923CC">
            <w:pPr>
              <w:pStyle w:val="NormalWeb"/>
              <w:rPr>
                <w:rFonts w:ascii="Arial" w:hAnsi="Arial" w:cs="Arial"/>
                <w:sz w:val="22"/>
                <w:szCs w:val="22"/>
              </w:rPr>
            </w:pPr>
            <w:r w:rsidRPr="00BC4704">
              <w:rPr>
                <w:rFonts w:ascii="Arial" w:hAnsi="Arial" w:cs="Arial"/>
                <w:sz w:val="22"/>
                <w:szCs w:val="22"/>
              </w:rPr>
              <w:t>Embed consistent behaviour policy, supported by restorative approaches. Targeted mentoring for disadvantaged pupils with repeated behaviour concerns. Regular monitoring of exclusions and behaviour incidents.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E72F" w14:textId="1362DC07" w:rsidR="007923CC" w:rsidRPr="00BC4704" w:rsidRDefault="007923CC">
            <w:pPr>
              <w:pStyle w:val="TableRowCentered"/>
              <w:jc w:val="left"/>
              <w:rPr>
                <w:rFonts w:cs="Arial"/>
                <w:sz w:val="22"/>
                <w:szCs w:val="22"/>
              </w:rPr>
            </w:pPr>
            <w:r w:rsidRPr="00BC4704">
              <w:rPr>
                <w:rFonts w:cs="Arial"/>
                <w:sz w:val="22"/>
                <w:szCs w:val="22"/>
              </w:rPr>
              <w:t>EEF emphasises the importance of behaviour interventions that focus on positive relationships, routines and emotional regulation.</w:t>
            </w:r>
          </w:p>
          <w:p w14:paraId="006CDCDB" w14:textId="77777777" w:rsidR="007923CC" w:rsidRPr="00BC4704" w:rsidRDefault="007923CC">
            <w:pPr>
              <w:pStyle w:val="TableRowCentered"/>
              <w:jc w:val="left"/>
              <w:rPr>
                <w:rFonts w:cs="Arial"/>
                <w:sz w:val="22"/>
                <w:szCs w:val="22"/>
              </w:rPr>
            </w:pPr>
          </w:p>
          <w:p w14:paraId="59E84049" w14:textId="6B616D5C" w:rsidR="007923CC" w:rsidRPr="00BC4704" w:rsidRDefault="007923CC">
            <w:pPr>
              <w:pStyle w:val="TableRowCentered"/>
              <w:jc w:val="left"/>
              <w:rPr>
                <w:rFonts w:cs="Arial"/>
                <w:sz w:val="22"/>
                <w:szCs w:val="22"/>
              </w:rPr>
            </w:pPr>
            <w:hyperlink r:id="rId29" w:history="1">
              <w:r w:rsidRPr="00BC4704">
                <w:rPr>
                  <w:rStyle w:val="Hyperlink"/>
                  <w:rFonts w:cs="Arial"/>
                  <w:sz w:val="22"/>
                  <w:szCs w:val="22"/>
                </w:rPr>
                <w:t>Behaviour Interventions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0EC8" w14:textId="7BCE32E2" w:rsidR="007923CC" w:rsidRPr="00BC4704" w:rsidRDefault="007923CC">
            <w:pPr>
              <w:pStyle w:val="TableRowCentered"/>
              <w:jc w:val="left"/>
              <w:rPr>
                <w:rFonts w:cs="Arial"/>
                <w:sz w:val="22"/>
                <w:szCs w:val="22"/>
              </w:rPr>
            </w:pPr>
            <w:r w:rsidRPr="00BC4704">
              <w:rPr>
                <w:rFonts w:cs="Arial"/>
                <w:sz w:val="22"/>
                <w:szCs w:val="22"/>
              </w:rPr>
              <w:t>6, 7</w:t>
            </w:r>
          </w:p>
        </w:tc>
      </w:tr>
    </w:tbl>
    <w:p w14:paraId="2A7D5540" w14:textId="77777777" w:rsidR="00E66558" w:rsidRPr="00E948E5" w:rsidRDefault="00E66558">
      <w:pPr>
        <w:spacing w:before="240" w:after="0"/>
        <w:rPr>
          <w:b/>
          <w:bCs/>
          <w:color w:val="104F75"/>
          <w:sz w:val="22"/>
          <w:szCs w:val="22"/>
        </w:rPr>
      </w:pPr>
    </w:p>
    <w:p w14:paraId="2A7D5541" w14:textId="13AD5E48" w:rsidR="00E66558" w:rsidRPr="0099232D" w:rsidRDefault="009D71E8" w:rsidP="00120AB1">
      <w:pPr>
        <w:rPr>
          <w:color w:val="0070C0"/>
          <w:sz w:val="22"/>
          <w:szCs w:val="22"/>
        </w:rPr>
      </w:pPr>
      <w:r w:rsidRPr="00E948E5">
        <w:rPr>
          <w:b/>
          <w:bCs/>
          <w:color w:val="104F75"/>
          <w:sz w:val="22"/>
          <w:szCs w:val="22"/>
        </w:rPr>
        <w:t>Total budgeted cost: £</w:t>
      </w:r>
    </w:p>
    <w:p w14:paraId="2A7D5542" w14:textId="77777777" w:rsidR="00E66558" w:rsidRPr="007C5D38" w:rsidRDefault="009D71E8">
      <w:pPr>
        <w:pStyle w:val="Heading1"/>
        <w:rPr>
          <w:sz w:val="22"/>
          <w:szCs w:val="22"/>
        </w:rPr>
      </w:pPr>
      <w:r w:rsidRPr="007C5D38">
        <w:rPr>
          <w:sz w:val="22"/>
          <w:szCs w:val="22"/>
        </w:rPr>
        <w:lastRenderedPageBreak/>
        <w:t>Part B: Review of outcomes in the previous academic year</w:t>
      </w:r>
    </w:p>
    <w:p w14:paraId="2A7D5543" w14:textId="77777777" w:rsidR="00E66558" w:rsidRPr="007C5D38" w:rsidRDefault="009D71E8">
      <w:pPr>
        <w:pStyle w:val="Heading2"/>
        <w:rPr>
          <w:sz w:val="22"/>
          <w:szCs w:val="22"/>
        </w:rPr>
      </w:pPr>
      <w:r w:rsidRPr="007C5D38">
        <w:rPr>
          <w:sz w:val="22"/>
          <w:szCs w:val="22"/>
        </w:rPr>
        <w:t>Pupil premium strategy outcomes</w:t>
      </w:r>
    </w:p>
    <w:p w14:paraId="2A7D5544" w14:textId="446C8FA7" w:rsidR="00E66558" w:rsidRPr="007C5D38" w:rsidRDefault="009D71E8">
      <w:pPr>
        <w:rPr>
          <w:sz w:val="22"/>
          <w:szCs w:val="22"/>
        </w:rPr>
      </w:pPr>
      <w:r w:rsidRPr="007C5D38">
        <w:rPr>
          <w:sz w:val="22"/>
          <w:szCs w:val="22"/>
        </w:rPr>
        <w:t>This details the impact that our pupil premium activity had on pupils in the 202</w:t>
      </w:r>
      <w:r w:rsidR="00D177F1">
        <w:rPr>
          <w:sz w:val="22"/>
          <w:szCs w:val="22"/>
        </w:rPr>
        <w:t>4</w:t>
      </w:r>
      <w:r w:rsidRPr="007C5D38">
        <w:rPr>
          <w:sz w:val="22"/>
          <w:szCs w:val="22"/>
        </w:rPr>
        <w:t xml:space="preserve"> to 202</w:t>
      </w:r>
      <w:r w:rsidR="00D177F1">
        <w:rPr>
          <w:sz w:val="22"/>
          <w:szCs w:val="22"/>
        </w:rPr>
        <w:t>5</w:t>
      </w:r>
      <w:r w:rsidR="00C21627" w:rsidRPr="007C5D38">
        <w:rPr>
          <w:sz w:val="22"/>
          <w:szCs w:val="22"/>
        </w:rPr>
        <w:t xml:space="preserve"> </w:t>
      </w:r>
      <w:r w:rsidRPr="007C5D38">
        <w:rPr>
          <w:sz w:val="22"/>
          <w:szCs w:val="22"/>
        </w:rP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7C5D3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93AB9" w14:textId="7777777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Attendance</w:t>
            </w:r>
            <w:r w:rsidRPr="00BD7321">
              <w:rPr>
                <w:rFonts w:cs="Arial"/>
                <w:color w:val="auto"/>
                <w:sz w:val="22"/>
                <w:szCs w:val="22"/>
              </w:rPr>
              <w:br/>
              <w:t>Attendance for pupil premium (PP) pupils was slightly lower than the whole-school average, at 94.5% compared to 95.2%. Despite this, the gap has narrowed since the previous academic year by 1.34%, showing progress in reducing barriers to attendance for disadvantaged pupils.</w:t>
            </w:r>
          </w:p>
          <w:p w14:paraId="151EB72F" w14:textId="3E8F2A80"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Wellbeing and SEMH Support</w:t>
            </w:r>
            <w:r w:rsidRPr="00BD7321">
              <w:rPr>
                <w:rFonts w:cs="Arial"/>
                <w:color w:val="auto"/>
                <w:sz w:val="22"/>
                <w:szCs w:val="22"/>
              </w:rPr>
              <w:br/>
              <w:t>Across the school, 29% of PP pupils received targeted mental health support. This highlights the ongoing need for social, emotional and mental health interventions to support engagement and readiness to learn.</w:t>
            </w:r>
          </w:p>
          <w:p w14:paraId="56663E32" w14:textId="155E3F6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Early Years Foundation Stage (EYFS)</w:t>
            </w:r>
            <w:r w:rsidRPr="00BD7321">
              <w:rPr>
                <w:rFonts w:cs="Arial"/>
                <w:color w:val="auto"/>
                <w:sz w:val="22"/>
                <w:szCs w:val="22"/>
              </w:rPr>
              <w:br/>
              <w:t>In EYFS, the gap in Good Level of Development (GLD) has widened significantly. Only 25% of PP pupils achieved GLD, compared to 65% of the whole cohort. This represents a considerable shift compared to the previous year and indicates a need for targeted early intervention in language, literacy and numeracy.</w:t>
            </w:r>
          </w:p>
          <w:p w14:paraId="2B6CDFE1" w14:textId="7777777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Phonics</w:t>
            </w:r>
          </w:p>
          <w:p w14:paraId="0AD57ACE" w14:textId="77777777" w:rsidR="00BD7321" w:rsidRPr="00BD7321" w:rsidRDefault="00BD7321" w:rsidP="00BD7321">
            <w:pPr>
              <w:numPr>
                <w:ilvl w:val="0"/>
                <w:numId w:val="30"/>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Year 1:</w:t>
            </w:r>
            <w:r w:rsidRPr="00BD7321">
              <w:rPr>
                <w:rFonts w:cs="Arial"/>
                <w:color w:val="auto"/>
                <w:sz w:val="22"/>
                <w:szCs w:val="22"/>
              </w:rPr>
              <w:t xml:space="preserve"> The gap in phonics attainment has widened, with 55% of PP pupils meeting the expected standard compared to 75% of the whole cohort. This is a concerning trend, especially as it does not correlate to the proportion of PP children who achieved GLD in EYFS.</w:t>
            </w:r>
          </w:p>
          <w:p w14:paraId="3AD4EFED" w14:textId="77777777" w:rsidR="00BD7321" w:rsidRPr="00BD7321" w:rsidRDefault="00BD7321" w:rsidP="00BD7321">
            <w:pPr>
              <w:numPr>
                <w:ilvl w:val="0"/>
                <w:numId w:val="30"/>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Year 2:</w:t>
            </w:r>
            <w:r w:rsidRPr="00BD7321">
              <w:rPr>
                <w:rFonts w:cs="Arial"/>
                <w:color w:val="auto"/>
                <w:sz w:val="22"/>
                <w:szCs w:val="22"/>
              </w:rPr>
              <w:t xml:space="preserve"> There has been improvement, with the gap narrowing between PP pupils and the whole cohort. In Year 2 phonics screening, 88% of PP pupils met the expected standard, compared to 94.9% of the whole cohort.</w:t>
            </w:r>
          </w:p>
          <w:p w14:paraId="16052EB1" w14:textId="51F334DC"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 xml:space="preserve">Mathematics </w:t>
            </w:r>
            <w:r w:rsidR="00984278">
              <w:rPr>
                <w:rFonts w:cs="Arial"/>
                <w:b/>
                <w:bCs/>
                <w:color w:val="auto"/>
                <w:sz w:val="22"/>
                <w:szCs w:val="22"/>
              </w:rPr>
              <w:t>-</w:t>
            </w:r>
            <w:r w:rsidRPr="00BD7321">
              <w:rPr>
                <w:rFonts w:cs="Arial"/>
                <w:b/>
                <w:bCs/>
                <w:color w:val="auto"/>
                <w:sz w:val="22"/>
                <w:szCs w:val="22"/>
              </w:rPr>
              <w:t xml:space="preserve"> Year 4</w:t>
            </w:r>
            <w:r w:rsidRPr="00BD7321">
              <w:rPr>
                <w:rFonts w:cs="Arial"/>
                <w:color w:val="auto"/>
                <w:sz w:val="22"/>
                <w:szCs w:val="22"/>
              </w:rPr>
              <w:br/>
              <w:t>In Year 4, the gap between PP pupils and the whole cohort in MTC has narrowed. 33.3% of PP pupils achieved a score between 21</w:t>
            </w:r>
            <w:r w:rsidR="004315D2">
              <w:rPr>
                <w:rFonts w:cs="Arial"/>
                <w:color w:val="auto"/>
                <w:sz w:val="22"/>
                <w:szCs w:val="22"/>
              </w:rPr>
              <w:t>-</w:t>
            </w:r>
            <w:r w:rsidRPr="00BD7321">
              <w:rPr>
                <w:rFonts w:cs="Arial"/>
                <w:color w:val="auto"/>
                <w:sz w:val="22"/>
                <w:szCs w:val="22"/>
              </w:rPr>
              <w:t>25, compared to 60% of the whole cohort. However, overall standards in Year 4 have decreased compared to the previous academic year, indicating a need to strengthen maths provision for all pupils, particularly disadvantaged pupils.</w:t>
            </w:r>
          </w:p>
          <w:p w14:paraId="5FDCFCBD" w14:textId="7777777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Key Stage 2 (Year 6) Outcomes</w:t>
            </w:r>
            <w:r w:rsidRPr="00BD7321">
              <w:rPr>
                <w:rFonts w:cs="Arial"/>
                <w:color w:val="auto"/>
                <w:sz w:val="22"/>
                <w:szCs w:val="22"/>
              </w:rPr>
              <w:br/>
              <w:t>Year 6 attainment was above national results for both PP pupils and the whole cohort.</w:t>
            </w:r>
          </w:p>
          <w:p w14:paraId="3BD8C098" w14:textId="77777777" w:rsidR="00BD7321" w:rsidRPr="00BD7321" w:rsidRDefault="00BD7321" w:rsidP="00BD7321">
            <w:pPr>
              <w:numPr>
                <w:ilvl w:val="0"/>
                <w:numId w:val="31"/>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Reading:</w:t>
            </w:r>
            <w:r w:rsidRPr="00BD7321">
              <w:rPr>
                <w:rFonts w:cs="Arial"/>
                <w:color w:val="auto"/>
                <w:sz w:val="22"/>
                <w:szCs w:val="22"/>
              </w:rPr>
              <w:t xml:space="preserve"> 83% (PP) vs 93% (whole cohort)</w:t>
            </w:r>
          </w:p>
          <w:p w14:paraId="05614A35" w14:textId="77777777" w:rsidR="00BD7321" w:rsidRPr="00BD7321" w:rsidRDefault="00BD7321" w:rsidP="00BD7321">
            <w:pPr>
              <w:numPr>
                <w:ilvl w:val="0"/>
                <w:numId w:val="31"/>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Writing:</w:t>
            </w:r>
            <w:r w:rsidRPr="00BD7321">
              <w:rPr>
                <w:rFonts w:cs="Arial"/>
                <w:color w:val="auto"/>
                <w:sz w:val="22"/>
                <w:szCs w:val="22"/>
              </w:rPr>
              <w:t xml:space="preserve"> 67% (PP) vs 77% (whole cohort)</w:t>
            </w:r>
          </w:p>
          <w:p w14:paraId="00689592" w14:textId="77777777" w:rsidR="00BD7321" w:rsidRPr="00BD7321" w:rsidRDefault="00BD7321" w:rsidP="00BD7321">
            <w:pPr>
              <w:numPr>
                <w:ilvl w:val="0"/>
                <w:numId w:val="31"/>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Maths:</w:t>
            </w:r>
            <w:r w:rsidRPr="00BD7321">
              <w:rPr>
                <w:rFonts w:cs="Arial"/>
                <w:color w:val="auto"/>
                <w:sz w:val="22"/>
                <w:szCs w:val="22"/>
              </w:rPr>
              <w:t xml:space="preserve"> 67% (PP) vs 83% (whole cohort)</w:t>
            </w:r>
          </w:p>
          <w:p w14:paraId="473EAC00" w14:textId="77777777" w:rsidR="00BD7321" w:rsidRPr="00BD7321" w:rsidRDefault="00BD7321" w:rsidP="00BD7321">
            <w:pPr>
              <w:numPr>
                <w:ilvl w:val="0"/>
                <w:numId w:val="31"/>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RWM Combined:</w:t>
            </w:r>
            <w:r w:rsidRPr="00BD7321">
              <w:rPr>
                <w:rFonts w:cs="Arial"/>
                <w:color w:val="auto"/>
                <w:sz w:val="22"/>
                <w:szCs w:val="22"/>
              </w:rPr>
              <w:t xml:space="preserve"> 67% (PP) vs 77% (whole cohort)</w:t>
            </w:r>
          </w:p>
          <w:p w14:paraId="4A594B0D" w14:textId="7777777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color w:val="auto"/>
                <w:sz w:val="22"/>
                <w:szCs w:val="22"/>
              </w:rPr>
              <w:t>While Year 6 outcomes were strong overall, PP pupils still performed below their non-disadvantaged peers, highlighting the continued need for targeted support and interventions to close attainment gaps.</w:t>
            </w:r>
          </w:p>
          <w:p w14:paraId="5EA10BC9" w14:textId="7777777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lastRenderedPageBreak/>
              <w:t>Pockets of Underperformance Across the School</w:t>
            </w:r>
            <w:r w:rsidRPr="00BD7321">
              <w:rPr>
                <w:rFonts w:cs="Arial"/>
                <w:color w:val="auto"/>
                <w:sz w:val="22"/>
                <w:szCs w:val="22"/>
              </w:rPr>
              <w:br/>
              <w:t>There are specific year groups where PP pupils are not performing in line with their peers:</w:t>
            </w:r>
          </w:p>
          <w:p w14:paraId="634E0498" w14:textId="77777777" w:rsidR="00BD7321" w:rsidRPr="00BD7321" w:rsidRDefault="00BD7321" w:rsidP="00BD7321">
            <w:pPr>
              <w:numPr>
                <w:ilvl w:val="0"/>
                <w:numId w:val="32"/>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Reading:</w:t>
            </w:r>
            <w:r w:rsidRPr="00BD7321">
              <w:rPr>
                <w:rFonts w:cs="Arial"/>
                <w:color w:val="auto"/>
                <w:sz w:val="22"/>
                <w:szCs w:val="22"/>
              </w:rPr>
              <w:t xml:space="preserve"> Years 2, 3, 4, and 5</w:t>
            </w:r>
          </w:p>
          <w:p w14:paraId="43132E9C" w14:textId="77777777" w:rsidR="00BD7321" w:rsidRPr="00BD7321" w:rsidRDefault="00BD7321" w:rsidP="00BD7321">
            <w:pPr>
              <w:numPr>
                <w:ilvl w:val="0"/>
                <w:numId w:val="32"/>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Writing:</w:t>
            </w:r>
            <w:r w:rsidRPr="00BD7321">
              <w:rPr>
                <w:rFonts w:cs="Arial"/>
                <w:color w:val="auto"/>
                <w:sz w:val="22"/>
                <w:szCs w:val="22"/>
              </w:rPr>
              <w:t xml:space="preserve"> Years 1 to 5</w:t>
            </w:r>
          </w:p>
          <w:p w14:paraId="51EFE605" w14:textId="77777777" w:rsidR="00BD7321" w:rsidRPr="00BD7321" w:rsidRDefault="00BD7321" w:rsidP="00BD7321">
            <w:pPr>
              <w:numPr>
                <w:ilvl w:val="0"/>
                <w:numId w:val="32"/>
              </w:num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Maths:</w:t>
            </w:r>
            <w:r w:rsidRPr="00BD7321">
              <w:rPr>
                <w:rFonts w:cs="Arial"/>
                <w:color w:val="auto"/>
                <w:sz w:val="22"/>
                <w:szCs w:val="22"/>
              </w:rPr>
              <w:t xml:space="preserve"> Years 2 to 5</w:t>
            </w:r>
          </w:p>
          <w:p w14:paraId="7B58355D" w14:textId="7A3FBA07"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color w:val="auto"/>
                <w:sz w:val="22"/>
                <w:szCs w:val="22"/>
              </w:rPr>
              <w:t>These areas indicate the need for focused teaching, targeted interventions and support to ensure that disadvantaged pupils make accelerated progress across all year groups.</w:t>
            </w:r>
          </w:p>
          <w:p w14:paraId="0204320A" w14:textId="381442F3" w:rsidR="00BD7321" w:rsidRPr="00BD7321" w:rsidRDefault="00BD7321" w:rsidP="00BD7321">
            <w:pPr>
              <w:suppressAutoHyphens w:val="0"/>
              <w:autoSpaceDN/>
              <w:spacing w:before="100" w:beforeAutospacing="1" w:after="100" w:afterAutospacing="1" w:line="240" w:lineRule="auto"/>
              <w:rPr>
                <w:rFonts w:cs="Arial"/>
                <w:color w:val="auto"/>
                <w:sz w:val="22"/>
                <w:szCs w:val="22"/>
              </w:rPr>
            </w:pPr>
            <w:r w:rsidRPr="00BD7321">
              <w:rPr>
                <w:rFonts w:cs="Arial"/>
                <w:b/>
                <w:bCs/>
                <w:color w:val="auto"/>
                <w:sz w:val="22"/>
                <w:szCs w:val="22"/>
              </w:rPr>
              <w:t>Summary</w:t>
            </w:r>
            <w:r w:rsidRPr="00BD7321">
              <w:rPr>
                <w:rFonts w:cs="Arial"/>
                <w:color w:val="auto"/>
                <w:sz w:val="22"/>
                <w:szCs w:val="22"/>
              </w:rPr>
              <w:br/>
              <w:t>Over the 2024/25 academic year, progress for PP pupils has been mixed. Attendance gaps have narrowed and there has been some improvement in phonics and Year 4 maths. However, significant challenges remain in EYFS GLD, Year 1 phonics, KS2 attainment and specific pockets of underperformance across the school. The proportion of pupils requiring mental health support also emphasi</w:t>
            </w:r>
            <w:r w:rsidR="004315D2">
              <w:rPr>
                <w:rFonts w:cs="Arial"/>
                <w:color w:val="auto"/>
                <w:sz w:val="22"/>
                <w:szCs w:val="22"/>
              </w:rPr>
              <w:t>s</w:t>
            </w:r>
            <w:r w:rsidRPr="00BD7321">
              <w:rPr>
                <w:rFonts w:cs="Arial"/>
                <w:color w:val="auto"/>
                <w:sz w:val="22"/>
                <w:szCs w:val="22"/>
              </w:rPr>
              <w:t>es the importance of addressing non-academic barriers alongside academic interventions. These insights will guide the focus of the 2025/26 Pupil Premium Strategy.</w:t>
            </w:r>
          </w:p>
          <w:p w14:paraId="2A7D5546" w14:textId="004F29F5" w:rsidR="00EF14FB" w:rsidRPr="00EF14FB" w:rsidRDefault="00EF14FB" w:rsidP="00EF14FB">
            <w:pPr>
              <w:spacing w:after="0"/>
              <w:rPr>
                <w:rFonts w:eastAsia="Arial" w:cs="Arial"/>
                <w:b/>
                <w:sz w:val="22"/>
                <w:szCs w:val="22"/>
              </w:rPr>
            </w:pPr>
          </w:p>
        </w:tc>
      </w:tr>
    </w:tbl>
    <w:p w14:paraId="2A7D5548" w14:textId="77777777" w:rsidR="00E66558" w:rsidRPr="00EF14FB" w:rsidRDefault="009D71E8">
      <w:pPr>
        <w:pStyle w:val="Heading2"/>
        <w:spacing w:before="600"/>
        <w:rPr>
          <w:sz w:val="22"/>
          <w:szCs w:val="22"/>
        </w:rPr>
      </w:pPr>
      <w:r w:rsidRPr="00EF14FB">
        <w:rPr>
          <w:sz w:val="22"/>
          <w:szCs w:val="22"/>
        </w:rPr>
        <w:t>Externally provided programmes</w:t>
      </w:r>
    </w:p>
    <w:p w14:paraId="2A7D5549" w14:textId="77777777" w:rsidR="00E66558" w:rsidRPr="00EF14FB" w:rsidRDefault="009D71E8">
      <w:pPr>
        <w:rPr>
          <w:i/>
          <w:iCs/>
          <w:sz w:val="22"/>
          <w:szCs w:val="22"/>
        </w:rPr>
      </w:pPr>
      <w:r w:rsidRPr="00EF14FB">
        <w:rPr>
          <w:i/>
          <w:iCs/>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F14FB"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EF14FB" w:rsidRDefault="009D71E8">
            <w:pPr>
              <w:pStyle w:val="TableHeader"/>
              <w:jc w:val="left"/>
              <w:rPr>
                <w:sz w:val="22"/>
                <w:szCs w:val="22"/>
              </w:rPr>
            </w:pPr>
            <w:r w:rsidRPr="00EF14FB">
              <w:rPr>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EF14FB" w:rsidRDefault="009D71E8">
            <w:pPr>
              <w:pStyle w:val="TableHeader"/>
              <w:jc w:val="left"/>
              <w:rPr>
                <w:sz w:val="22"/>
                <w:szCs w:val="22"/>
              </w:rPr>
            </w:pPr>
            <w:r w:rsidRPr="00EF14FB">
              <w:rPr>
                <w:sz w:val="22"/>
                <w:szCs w:val="22"/>
              </w:rPr>
              <w:t>Provider</w:t>
            </w:r>
          </w:p>
        </w:tc>
      </w:tr>
      <w:tr w:rsidR="00E66558" w:rsidRPr="00EF14FB"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9984C91" w:rsidR="00E66558" w:rsidRPr="00EF14FB" w:rsidRDefault="00EF14FB">
            <w:pPr>
              <w:pStyle w:val="TableRow"/>
              <w:rPr>
                <w:sz w:val="22"/>
                <w:szCs w:val="22"/>
              </w:rPr>
            </w:pPr>
            <w:r>
              <w:rPr>
                <w:sz w:val="22"/>
                <w:szCs w:val="22"/>
              </w:rP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EF14FB" w:rsidRDefault="00E66558">
            <w:pPr>
              <w:pStyle w:val="TableRowCentered"/>
              <w:jc w:val="left"/>
              <w:rPr>
                <w:sz w:val="22"/>
                <w:szCs w:val="22"/>
              </w:rPr>
            </w:pPr>
          </w:p>
        </w:tc>
      </w:tr>
      <w:tr w:rsidR="00E66558" w:rsidRPr="00EF14FB"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EF14FB"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EF14FB" w:rsidRDefault="00E66558">
            <w:pPr>
              <w:pStyle w:val="TableRowCentered"/>
              <w:jc w:val="left"/>
              <w:rPr>
                <w:sz w:val="22"/>
                <w:szCs w:val="22"/>
              </w:rPr>
            </w:pPr>
          </w:p>
        </w:tc>
      </w:tr>
    </w:tbl>
    <w:p w14:paraId="2A7D5553" w14:textId="77777777" w:rsidR="00E66558" w:rsidRPr="00EF14FB" w:rsidRDefault="009D71E8">
      <w:pPr>
        <w:pStyle w:val="Heading2"/>
        <w:spacing w:before="600"/>
        <w:rPr>
          <w:sz w:val="22"/>
          <w:szCs w:val="22"/>
        </w:rPr>
      </w:pPr>
      <w:r w:rsidRPr="00EF14FB">
        <w:rPr>
          <w:sz w:val="22"/>
          <w:szCs w:val="22"/>
        </w:rPr>
        <w:t>Service pupil premium funding (optional)</w:t>
      </w:r>
    </w:p>
    <w:p w14:paraId="2A7D5554" w14:textId="77777777" w:rsidR="00E66558" w:rsidRPr="00EF14FB" w:rsidRDefault="009D71E8">
      <w:pPr>
        <w:rPr>
          <w:i/>
          <w:iCs/>
          <w:sz w:val="22"/>
          <w:szCs w:val="22"/>
        </w:rPr>
      </w:pPr>
      <w:r w:rsidRPr="00EF14FB">
        <w:rPr>
          <w:i/>
          <w:iCs/>
          <w:sz w:val="22"/>
          <w:szCs w:val="22"/>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F14FB"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EF14FB" w:rsidRDefault="009D71E8">
            <w:pPr>
              <w:pStyle w:val="TableHeader"/>
              <w:jc w:val="left"/>
              <w:rPr>
                <w:sz w:val="22"/>
                <w:szCs w:val="22"/>
              </w:rPr>
            </w:pPr>
            <w:bookmarkStart w:id="18" w:name="_Hlk80604898"/>
            <w:r w:rsidRPr="00EF14FB">
              <w:rPr>
                <w:bCs/>
                <w:sz w:val="22"/>
                <w:szCs w:val="22"/>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EF14FB" w:rsidRDefault="009D71E8">
            <w:pPr>
              <w:pStyle w:val="TableHeader"/>
              <w:jc w:val="left"/>
              <w:rPr>
                <w:sz w:val="22"/>
                <w:szCs w:val="22"/>
              </w:rPr>
            </w:pPr>
            <w:r w:rsidRPr="00EF14FB">
              <w:rPr>
                <w:bCs/>
                <w:sz w:val="22"/>
                <w:szCs w:val="22"/>
              </w:rPr>
              <w:t xml:space="preserve">Details </w:t>
            </w:r>
          </w:p>
        </w:tc>
      </w:tr>
      <w:tr w:rsidR="00E66558" w:rsidRPr="00EF14FB"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EF14FB" w:rsidRDefault="009D71E8">
            <w:pPr>
              <w:pStyle w:val="TableRow"/>
              <w:rPr>
                <w:sz w:val="22"/>
                <w:szCs w:val="22"/>
              </w:rPr>
            </w:pPr>
            <w:r w:rsidRPr="00EF14FB">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85A4274" w:rsidR="00E66558" w:rsidRPr="00EF14FB" w:rsidRDefault="00EF14FB">
            <w:pPr>
              <w:pStyle w:val="TableRowCentered"/>
              <w:jc w:val="left"/>
              <w:rPr>
                <w:sz w:val="22"/>
                <w:szCs w:val="22"/>
              </w:rPr>
            </w:pPr>
            <w:r>
              <w:rPr>
                <w:sz w:val="22"/>
                <w:szCs w:val="22"/>
              </w:rPr>
              <w:t>N/A</w:t>
            </w:r>
          </w:p>
        </w:tc>
      </w:tr>
      <w:tr w:rsidR="00E66558" w:rsidRPr="00EF14FB"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EF14FB" w:rsidRDefault="009D71E8">
            <w:pPr>
              <w:pStyle w:val="TableRow"/>
              <w:rPr>
                <w:sz w:val="22"/>
                <w:szCs w:val="22"/>
              </w:rPr>
            </w:pPr>
            <w:r w:rsidRPr="00EF14FB">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Pr="00EF14FB" w:rsidRDefault="00E66558">
            <w:pPr>
              <w:pStyle w:val="TableRowCentered"/>
              <w:jc w:val="left"/>
              <w:rPr>
                <w:sz w:val="22"/>
                <w:szCs w:val="22"/>
              </w:rPr>
            </w:pPr>
          </w:p>
        </w:tc>
      </w:tr>
      <w:bookmarkEnd w:id="18"/>
    </w:tbl>
    <w:p w14:paraId="2A7D555E" w14:textId="77777777" w:rsidR="00E66558" w:rsidRPr="00EF14FB" w:rsidRDefault="00E66558">
      <w:pPr>
        <w:rPr>
          <w:sz w:val="22"/>
          <w:szCs w:val="22"/>
        </w:rPr>
      </w:pPr>
    </w:p>
    <w:p w14:paraId="2A7D555F" w14:textId="77777777" w:rsidR="00E66558" w:rsidRPr="00EF14FB" w:rsidRDefault="00E66558">
      <w:pPr>
        <w:spacing w:after="0" w:line="240" w:lineRule="auto"/>
        <w:rPr>
          <w:sz w:val="22"/>
          <w:szCs w:val="22"/>
        </w:rPr>
      </w:pPr>
    </w:p>
    <w:bookmarkEnd w:id="14"/>
    <w:bookmarkEnd w:id="15"/>
    <w:bookmarkEnd w:id="16"/>
    <w:p w14:paraId="2A7D5564" w14:textId="77777777" w:rsidR="00E66558" w:rsidRDefault="00E66558"/>
    <w:sectPr w:rsidR="00E66558">
      <w:headerReference w:type="default" r:id="rId30"/>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A5221" w14:textId="77777777" w:rsidR="00253580" w:rsidRDefault="00253580">
      <w:pPr>
        <w:spacing w:after="0" w:line="240" w:lineRule="auto"/>
      </w:pPr>
      <w:r>
        <w:separator/>
      </w:r>
    </w:p>
  </w:endnote>
  <w:endnote w:type="continuationSeparator" w:id="0">
    <w:p w14:paraId="0942F4CA" w14:textId="77777777" w:rsidR="00253580" w:rsidRDefault="0025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834662" w:rsidRDefault="00834662">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08C67" w14:textId="77777777" w:rsidR="00253580" w:rsidRDefault="00253580">
      <w:pPr>
        <w:spacing w:after="0" w:line="240" w:lineRule="auto"/>
      </w:pPr>
      <w:r>
        <w:separator/>
      </w:r>
    </w:p>
  </w:footnote>
  <w:footnote w:type="continuationSeparator" w:id="0">
    <w:p w14:paraId="59F27A90" w14:textId="77777777" w:rsidR="00253580" w:rsidRDefault="00253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4BCF" w14:textId="08A0E722" w:rsidR="00834662" w:rsidRDefault="00834662" w:rsidP="007C535D">
    <w:pPr>
      <w:pStyle w:val="Header"/>
      <w:jc w:val="right"/>
    </w:pPr>
    <w:r>
      <w:rPr>
        <w:noProof/>
      </w:rPr>
      <w:drawing>
        <wp:inline distT="0" distB="0" distL="0" distR="0" wp14:anchorId="1FCFCBBC" wp14:editId="3E574C14">
          <wp:extent cx="800100" cy="768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 SCHOOL LOGO TUCASI.png"/>
                  <pic:cNvPicPr/>
                </pic:nvPicPr>
                <pic:blipFill>
                  <a:blip r:embed="rId1">
                    <a:extLst>
                      <a:ext uri="{28A0092B-C50C-407E-A947-70E740481C1C}">
                        <a14:useLocalDpi xmlns:a14="http://schemas.microsoft.com/office/drawing/2010/main" val="0"/>
                      </a:ext>
                    </a:extLst>
                  </a:blip>
                  <a:stretch>
                    <a:fillRect/>
                  </a:stretch>
                </pic:blipFill>
                <pic:spPr>
                  <a:xfrm>
                    <a:off x="0" y="0"/>
                    <a:ext cx="806570" cy="774307"/>
                  </a:xfrm>
                  <a:prstGeom prst="rect">
                    <a:avLst/>
                  </a:prstGeom>
                </pic:spPr>
              </pic:pic>
            </a:graphicData>
          </a:graphic>
        </wp:inline>
      </w:drawing>
    </w:r>
  </w:p>
  <w:p w14:paraId="2A7D54BC" w14:textId="77777777" w:rsidR="00834662" w:rsidRDefault="00834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E7E"/>
    <w:multiLevelType w:val="hybridMultilevel"/>
    <w:tmpl w:val="413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20"/>
    <w:multiLevelType w:val="multilevel"/>
    <w:tmpl w:val="CEE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DE3B9F"/>
    <w:multiLevelType w:val="multilevel"/>
    <w:tmpl w:val="291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BF0CDC"/>
    <w:multiLevelType w:val="multilevel"/>
    <w:tmpl w:val="1A94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8F7566D"/>
    <w:multiLevelType w:val="multilevel"/>
    <w:tmpl w:val="D2CA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92458"/>
    <w:multiLevelType w:val="multilevel"/>
    <w:tmpl w:val="F9FE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F5B6D72"/>
    <w:multiLevelType w:val="multilevel"/>
    <w:tmpl w:val="0BC8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A00B0"/>
    <w:multiLevelType w:val="multilevel"/>
    <w:tmpl w:val="1C06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C1E59"/>
    <w:multiLevelType w:val="hybridMultilevel"/>
    <w:tmpl w:val="DE3E6B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31E00A7E"/>
    <w:multiLevelType w:val="multilevel"/>
    <w:tmpl w:val="54A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A5443"/>
    <w:multiLevelType w:val="hybridMultilevel"/>
    <w:tmpl w:val="9ADC610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BF07537"/>
    <w:multiLevelType w:val="multilevel"/>
    <w:tmpl w:val="31B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E5F00"/>
    <w:multiLevelType w:val="multilevel"/>
    <w:tmpl w:val="9CD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E44AD"/>
    <w:multiLevelType w:val="hybridMultilevel"/>
    <w:tmpl w:val="CDCA5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45536C"/>
    <w:multiLevelType w:val="multilevel"/>
    <w:tmpl w:val="19A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9DF4D8B"/>
    <w:multiLevelType w:val="hybridMultilevel"/>
    <w:tmpl w:val="17F42DE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6DC865AE"/>
    <w:multiLevelType w:val="hybridMultilevel"/>
    <w:tmpl w:val="092E89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70A09AC"/>
    <w:multiLevelType w:val="multilevel"/>
    <w:tmpl w:val="5580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E6D4B"/>
    <w:multiLevelType w:val="hybridMultilevel"/>
    <w:tmpl w:val="46663A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7"/>
  </w:num>
  <w:num w:numId="2">
    <w:abstractNumId w:val="4"/>
  </w:num>
  <w:num w:numId="3">
    <w:abstractNumId w:val="8"/>
  </w:num>
  <w:num w:numId="4">
    <w:abstractNumId w:val="11"/>
  </w:num>
  <w:num w:numId="5">
    <w:abstractNumId w:val="2"/>
  </w:num>
  <w:num w:numId="6">
    <w:abstractNumId w:val="17"/>
  </w:num>
  <w:num w:numId="7">
    <w:abstractNumId w:val="23"/>
  </w:num>
  <w:num w:numId="8">
    <w:abstractNumId w:val="29"/>
  </w:num>
  <w:num w:numId="9">
    <w:abstractNumId w:val="27"/>
  </w:num>
  <w:num w:numId="10">
    <w:abstractNumId w:val="25"/>
  </w:num>
  <w:num w:numId="11">
    <w:abstractNumId w:val="5"/>
  </w:num>
  <w:num w:numId="12">
    <w:abstractNumId w:val="28"/>
  </w:num>
  <w:num w:numId="13">
    <w:abstractNumId w:val="21"/>
  </w:num>
  <w:num w:numId="14">
    <w:abstractNumId w:val="20"/>
  </w:num>
  <w:num w:numId="15">
    <w:abstractNumId w:val="31"/>
  </w:num>
  <w:num w:numId="16">
    <w:abstractNumId w:val="26"/>
  </w:num>
  <w:num w:numId="17">
    <w:abstractNumId w:val="14"/>
  </w:num>
  <w:num w:numId="18">
    <w:abstractNumId w:val="24"/>
  </w:num>
  <w:num w:numId="19">
    <w:abstractNumId w:val="0"/>
  </w:num>
  <w:num w:numId="20">
    <w:abstractNumId w:val="12"/>
  </w:num>
  <w:num w:numId="21">
    <w:abstractNumId w:val="16"/>
  </w:num>
  <w:num w:numId="22">
    <w:abstractNumId w:val="3"/>
  </w:num>
  <w:num w:numId="23">
    <w:abstractNumId w:val="1"/>
  </w:num>
  <w:num w:numId="24">
    <w:abstractNumId w:val="13"/>
  </w:num>
  <w:num w:numId="25">
    <w:abstractNumId w:val="9"/>
  </w:num>
  <w:num w:numId="26">
    <w:abstractNumId w:val="15"/>
  </w:num>
  <w:num w:numId="27">
    <w:abstractNumId w:val="6"/>
  </w:num>
  <w:num w:numId="28">
    <w:abstractNumId w:val="10"/>
  </w:num>
  <w:num w:numId="29">
    <w:abstractNumId w:val="19"/>
  </w:num>
  <w:num w:numId="30">
    <w:abstractNumId w:val="22"/>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307"/>
    <w:rsid w:val="000243B4"/>
    <w:rsid w:val="0004591D"/>
    <w:rsid w:val="00066B73"/>
    <w:rsid w:val="000C5DC1"/>
    <w:rsid w:val="000E52A3"/>
    <w:rsid w:val="000F0065"/>
    <w:rsid w:val="000F568C"/>
    <w:rsid w:val="00120AB1"/>
    <w:rsid w:val="001315AB"/>
    <w:rsid w:val="001406FD"/>
    <w:rsid w:val="00184330"/>
    <w:rsid w:val="00194905"/>
    <w:rsid w:val="00224B43"/>
    <w:rsid w:val="0022611E"/>
    <w:rsid w:val="00253580"/>
    <w:rsid w:val="00253E89"/>
    <w:rsid w:val="00267C0A"/>
    <w:rsid w:val="002812AC"/>
    <w:rsid w:val="00322933"/>
    <w:rsid w:val="00326272"/>
    <w:rsid w:val="003400C3"/>
    <w:rsid w:val="0036007B"/>
    <w:rsid w:val="003734CB"/>
    <w:rsid w:val="0037437C"/>
    <w:rsid w:val="003856E6"/>
    <w:rsid w:val="003A160C"/>
    <w:rsid w:val="003F7E0D"/>
    <w:rsid w:val="004044AA"/>
    <w:rsid w:val="00406F3F"/>
    <w:rsid w:val="004211E5"/>
    <w:rsid w:val="004315D2"/>
    <w:rsid w:val="00436384"/>
    <w:rsid w:val="00446511"/>
    <w:rsid w:val="00450BE2"/>
    <w:rsid w:val="00471F5A"/>
    <w:rsid w:val="00485F8F"/>
    <w:rsid w:val="004A047B"/>
    <w:rsid w:val="004A0EA2"/>
    <w:rsid w:val="004C001D"/>
    <w:rsid w:val="004C117C"/>
    <w:rsid w:val="004E4CA1"/>
    <w:rsid w:val="004F71AD"/>
    <w:rsid w:val="005003CD"/>
    <w:rsid w:val="00505822"/>
    <w:rsid w:val="00522765"/>
    <w:rsid w:val="00533893"/>
    <w:rsid w:val="005722F1"/>
    <w:rsid w:val="00590CE9"/>
    <w:rsid w:val="005C57BF"/>
    <w:rsid w:val="006061E7"/>
    <w:rsid w:val="00621809"/>
    <w:rsid w:val="006273F3"/>
    <w:rsid w:val="00634238"/>
    <w:rsid w:val="00635FBC"/>
    <w:rsid w:val="006B4099"/>
    <w:rsid w:val="006C6501"/>
    <w:rsid w:val="006E0696"/>
    <w:rsid w:val="006E6B4A"/>
    <w:rsid w:val="006E7FB1"/>
    <w:rsid w:val="00703077"/>
    <w:rsid w:val="0073114F"/>
    <w:rsid w:val="00741B9E"/>
    <w:rsid w:val="0077423E"/>
    <w:rsid w:val="00790B05"/>
    <w:rsid w:val="007923CC"/>
    <w:rsid w:val="007C2F04"/>
    <w:rsid w:val="007C535D"/>
    <w:rsid w:val="007C5D38"/>
    <w:rsid w:val="007E5810"/>
    <w:rsid w:val="008265BF"/>
    <w:rsid w:val="00834398"/>
    <w:rsid w:val="00834662"/>
    <w:rsid w:val="00927E0C"/>
    <w:rsid w:val="00944190"/>
    <w:rsid w:val="009465D2"/>
    <w:rsid w:val="00984278"/>
    <w:rsid w:val="0099232D"/>
    <w:rsid w:val="009D71E8"/>
    <w:rsid w:val="00A04240"/>
    <w:rsid w:val="00A1482E"/>
    <w:rsid w:val="00A64DD6"/>
    <w:rsid w:val="00A73D18"/>
    <w:rsid w:val="00AB61AB"/>
    <w:rsid w:val="00AB644B"/>
    <w:rsid w:val="00AC57FA"/>
    <w:rsid w:val="00AC7BA5"/>
    <w:rsid w:val="00AD16C8"/>
    <w:rsid w:val="00AD24BB"/>
    <w:rsid w:val="00AE1E98"/>
    <w:rsid w:val="00B20552"/>
    <w:rsid w:val="00B26F0B"/>
    <w:rsid w:val="00B344EE"/>
    <w:rsid w:val="00B43BE4"/>
    <w:rsid w:val="00BC4704"/>
    <w:rsid w:val="00BD7321"/>
    <w:rsid w:val="00BF3BDF"/>
    <w:rsid w:val="00C06580"/>
    <w:rsid w:val="00C21627"/>
    <w:rsid w:val="00C27B49"/>
    <w:rsid w:val="00C34F0E"/>
    <w:rsid w:val="00C450F1"/>
    <w:rsid w:val="00C81622"/>
    <w:rsid w:val="00C93C00"/>
    <w:rsid w:val="00CA4A23"/>
    <w:rsid w:val="00CA6E89"/>
    <w:rsid w:val="00CB3A16"/>
    <w:rsid w:val="00CB73DF"/>
    <w:rsid w:val="00CC6177"/>
    <w:rsid w:val="00CF53E5"/>
    <w:rsid w:val="00D06874"/>
    <w:rsid w:val="00D177F1"/>
    <w:rsid w:val="00D33FE5"/>
    <w:rsid w:val="00D60186"/>
    <w:rsid w:val="00D66E13"/>
    <w:rsid w:val="00D843BD"/>
    <w:rsid w:val="00DC2340"/>
    <w:rsid w:val="00DD74FB"/>
    <w:rsid w:val="00DF054D"/>
    <w:rsid w:val="00DF6196"/>
    <w:rsid w:val="00E1128F"/>
    <w:rsid w:val="00E15448"/>
    <w:rsid w:val="00E5322A"/>
    <w:rsid w:val="00E66558"/>
    <w:rsid w:val="00E81153"/>
    <w:rsid w:val="00E948E5"/>
    <w:rsid w:val="00EC0719"/>
    <w:rsid w:val="00EC4452"/>
    <w:rsid w:val="00ED0B9C"/>
    <w:rsid w:val="00EF14FB"/>
    <w:rsid w:val="00EF166E"/>
    <w:rsid w:val="00EF49DC"/>
    <w:rsid w:val="00F362EF"/>
    <w:rsid w:val="00F4135A"/>
    <w:rsid w:val="00F41DAC"/>
    <w:rsid w:val="00F51432"/>
    <w:rsid w:val="00F54704"/>
    <w:rsid w:val="00F76AA5"/>
    <w:rsid w:val="00FE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54B1"/>
  <w15:docId w15:val="{694A4F5C-FF78-4C2E-8529-8C4CC1F5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34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6E89"/>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CA6E89"/>
    <w:rPr>
      <w:b/>
      <w:bCs/>
    </w:rPr>
  </w:style>
  <w:style w:type="character" w:styleId="Emphasis">
    <w:name w:val="Emphasis"/>
    <w:basedOn w:val="DefaultParagraphFont"/>
    <w:uiPriority w:val="20"/>
    <w:qFormat/>
    <w:rsid w:val="00446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538">
      <w:bodyDiv w:val="1"/>
      <w:marLeft w:val="0"/>
      <w:marRight w:val="0"/>
      <w:marTop w:val="0"/>
      <w:marBottom w:val="0"/>
      <w:divBdr>
        <w:top w:val="none" w:sz="0" w:space="0" w:color="auto"/>
        <w:left w:val="none" w:sz="0" w:space="0" w:color="auto"/>
        <w:bottom w:val="none" w:sz="0" w:space="0" w:color="auto"/>
        <w:right w:val="none" w:sz="0" w:space="0" w:color="auto"/>
      </w:divBdr>
    </w:div>
    <w:div w:id="23335117">
      <w:bodyDiv w:val="1"/>
      <w:marLeft w:val="0"/>
      <w:marRight w:val="0"/>
      <w:marTop w:val="0"/>
      <w:marBottom w:val="0"/>
      <w:divBdr>
        <w:top w:val="none" w:sz="0" w:space="0" w:color="auto"/>
        <w:left w:val="none" w:sz="0" w:space="0" w:color="auto"/>
        <w:bottom w:val="none" w:sz="0" w:space="0" w:color="auto"/>
        <w:right w:val="none" w:sz="0" w:space="0" w:color="auto"/>
      </w:divBdr>
    </w:div>
    <w:div w:id="155541035">
      <w:bodyDiv w:val="1"/>
      <w:marLeft w:val="0"/>
      <w:marRight w:val="0"/>
      <w:marTop w:val="0"/>
      <w:marBottom w:val="0"/>
      <w:divBdr>
        <w:top w:val="none" w:sz="0" w:space="0" w:color="auto"/>
        <w:left w:val="none" w:sz="0" w:space="0" w:color="auto"/>
        <w:bottom w:val="none" w:sz="0" w:space="0" w:color="auto"/>
        <w:right w:val="none" w:sz="0" w:space="0" w:color="auto"/>
      </w:divBdr>
    </w:div>
    <w:div w:id="486098151">
      <w:bodyDiv w:val="1"/>
      <w:marLeft w:val="0"/>
      <w:marRight w:val="0"/>
      <w:marTop w:val="0"/>
      <w:marBottom w:val="0"/>
      <w:divBdr>
        <w:top w:val="none" w:sz="0" w:space="0" w:color="auto"/>
        <w:left w:val="none" w:sz="0" w:space="0" w:color="auto"/>
        <w:bottom w:val="none" w:sz="0" w:space="0" w:color="auto"/>
        <w:right w:val="none" w:sz="0" w:space="0" w:color="auto"/>
      </w:divBdr>
    </w:div>
    <w:div w:id="578246445">
      <w:bodyDiv w:val="1"/>
      <w:marLeft w:val="0"/>
      <w:marRight w:val="0"/>
      <w:marTop w:val="0"/>
      <w:marBottom w:val="0"/>
      <w:divBdr>
        <w:top w:val="none" w:sz="0" w:space="0" w:color="auto"/>
        <w:left w:val="none" w:sz="0" w:space="0" w:color="auto"/>
        <w:bottom w:val="none" w:sz="0" w:space="0" w:color="auto"/>
        <w:right w:val="none" w:sz="0" w:space="0" w:color="auto"/>
      </w:divBdr>
    </w:div>
    <w:div w:id="641085312">
      <w:bodyDiv w:val="1"/>
      <w:marLeft w:val="0"/>
      <w:marRight w:val="0"/>
      <w:marTop w:val="0"/>
      <w:marBottom w:val="0"/>
      <w:divBdr>
        <w:top w:val="none" w:sz="0" w:space="0" w:color="auto"/>
        <w:left w:val="none" w:sz="0" w:space="0" w:color="auto"/>
        <w:bottom w:val="none" w:sz="0" w:space="0" w:color="auto"/>
        <w:right w:val="none" w:sz="0" w:space="0" w:color="auto"/>
      </w:divBdr>
    </w:div>
    <w:div w:id="1017125194">
      <w:bodyDiv w:val="1"/>
      <w:marLeft w:val="0"/>
      <w:marRight w:val="0"/>
      <w:marTop w:val="0"/>
      <w:marBottom w:val="0"/>
      <w:divBdr>
        <w:top w:val="none" w:sz="0" w:space="0" w:color="auto"/>
        <w:left w:val="none" w:sz="0" w:space="0" w:color="auto"/>
        <w:bottom w:val="none" w:sz="0" w:space="0" w:color="auto"/>
        <w:right w:val="none" w:sz="0" w:space="0" w:color="auto"/>
      </w:divBdr>
    </w:div>
    <w:div w:id="1128817747">
      <w:bodyDiv w:val="1"/>
      <w:marLeft w:val="0"/>
      <w:marRight w:val="0"/>
      <w:marTop w:val="0"/>
      <w:marBottom w:val="0"/>
      <w:divBdr>
        <w:top w:val="none" w:sz="0" w:space="0" w:color="auto"/>
        <w:left w:val="none" w:sz="0" w:space="0" w:color="auto"/>
        <w:bottom w:val="none" w:sz="0" w:space="0" w:color="auto"/>
        <w:right w:val="none" w:sz="0" w:space="0" w:color="auto"/>
      </w:divBdr>
    </w:div>
    <w:div w:id="1340158720">
      <w:bodyDiv w:val="1"/>
      <w:marLeft w:val="0"/>
      <w:marRight w:val="0"/>
      <w:marTop w:val="0"/>
      <w:marBottom w:val="0"/>
      <w:divBdr>
        <w:top w:val="none" w:sz="0" w:space="0" w:color="auto"/>
        <w:left w:val="none" w:sz="0" w:space="0" w:color="auto"/>
        <w:bottom w:val="none" w:sz="0" w:space="0" w:color="auto"/>
        <w:right w:val="none" w:sz="0" w:space="0" w:color="auto"/>
      </w:divBdr>
    </w:div>
    <w:div w:id="1378623799">
      <w:bodyDiv w:val="1"/>
      <w:marLeft w:val="0"/>
      <w:marRight w:val="0"/>
      <w:marTop w:val="0"/>
      <w:marBottom w:val="0"/>
      <w:divBdr>
        <w:top w:val="none" w:sz="0" w:space="0" w:color="auto"/>
        <w:left w:val="none" w:sz="0" w:space="0" w:color="auto"/>
        <w:bottom w:val="none" w:sz="0" w:space="0" w:color="auto"/>
        <w:right w:val="none" w:sz="0" w:space="0" w:color="auto"/>
      </w:divBdr>
    </w:div>
    <w:div w:id="1399399178">
      <w:bodyDiv w:val="1"/>
      <w:marLeft w:val="0"/>
      <w:marRight w:val="0"/>
      <w:marTop w:val="0"/>
      <w:marBottom w:val="0"/>
      <w:divBdr>
        <w:top w:val="none" w:sz="0" w:space="0" w:color="auto"/>
        <w:left w:val="none" w:sz="0" w:space="0" w:color="auto"/>
        <w:bottom w:val="none" w:sz="0" w:space="0" w:color="auto"/>
        <w:right w:val="none" w:sz="0" w:space="0" w:color="auto"/>
      </w:divBdr>
    </w:div>
    <w:div w:id="1469930011">
      <w:bodyDiv w:val="1"/>
      <w:marLeft w:val="0"/>
      <w:marRight w:val="0"/>
      <w:marTop w:val="0"/>
      <w:marBottom w:val="0"/>
      <w:divBdr>
        <w:top w:val="none" w:sz="0" w:space="0" w:color="auto"/>
        <w:left w:val="none" w:sz="0" w:space="0" w:color="auto"/>
        <w:bottom w:val="none" w:sz="0" w:space="0" w:color="auto"/>
        <w:right w:val="none" w:sz="0" w:space="0" w:color="auto"/>
      </w:divBdr>
    </w:div>
    <w:div w:id="1531645170">
      <w:bodyDiv w:val="1"/>
      <w:marLeft w:val="0"/>
      <w:marRight w:val="0"/>
      <w:marTop w:val="0"/>
      <w:marBottom w:val="0"/>
      <w:divBdr>
        <w:top w:val="none" w:sz="0" w:space="0" w:color="auto"/>
        <w:left w:val="none" w:sz="0" w:space="0" w:color="auto"/>
        <w:bottom w:val="none" w:sz="0" w:space="0" w:color="auto"/>
        <w:right w:val="none" w:sz="0" w:space="0" w:color="auto"/>
      </w:divBdr>
    </w:div>
    <w:div w:id="1730106031">
      <w:bodyDiv w:val="1"/>
      <w:marLeft w:val="0"/>
      <w:marRight w:val="0"/>
      <w:marTop w:val="0"/>
      <w:marBottom w:val="0"/>
      <w:divBdr>
        <w:top w:val="none" w:sz="0" w:space="0" w:color="auto"/>
        <w:left w:val="none" w:sz="0" w:space="0" w:color="auto"/>
        <w:bottom w:val="none" w:sz="0" w:space="0" w:color="auto"/>
        <w:right w:val="none" w:sz="0" w:space="0" w:color="auto"/>
      </w:divBdr>
    </w:div>
    <w:div w:id="1835142624">
      <w:bodyDiv w:val="1"/>
      <w:marLeft w:val="0"/>
      <w:marRight w:val="0"/>
      <w:marTop w:val="0"/>
      <w:marBottom w:val="0"/>
      <w:divBdr>
        <w:top w:val="none" w:sz="0" w:space="0" w:color="auto"/>
        <w:left w:val="none" w:sz="0" w:space="0" w:color="auto"/>
        <w:bottom w:val="none" w:sz="0" w:space="0" w:color="auto"/>
        <w:right w:val="none" w:sz="0" w:space="0" w:color="auto"/>
      </w:divBdr>
    </w:div>
    <w:div w:id="1909458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projects-and-evaluation/projects/craft-of-writing?" TargetMode="External"/><Relationship Id="rId18" Type="http://schemas.openxmlformats.org/officeDocument/2006/relationships/hyperlink" Target="https://educationendowmentfoundation.org.uk/education-evidence/guidance-reports/maths-ks-2-3?" TargetMode="External"/><Relationship Id="rId26" Type="http://schemas.openxmlformats.org/officeDocument/2006/relationships/hyperlink" Target="https://educationendowmentfoundation.org.uk/education-evidence/teaching-learning-toolkit/physical-activity" TargetMode="Externa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s://learningjournals.co.uk/what-is-the-leuven-scale-and-how-to-use-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projects-and-evaluation/projects/craft-of-writing?" TargetMode="External"/><Relationship Id="rId29" Type="http://schemas.openxmlformats.org/officeDocument/2006/relationships/hyperlink" Target="https://educationendowmentfoundation.org.uk/education-evidence/teaching-learning-toolkit/behaviour-interv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hyperlink" Target="https://www.fsli.co.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yperlink" Target="https://educationendowmentfoundation.org.uk/education-evidence/teaching-learning-toolkit/parental-engagement" TargetMode="External"/><Relationship Id="rId28" Type="http://schemas.openxmlformats.org/officeDocument/2006/relationships/hyperlink" Target="https://educationendowmentfoundation.org.uk/education-evidence/teaching-learning-toolkit/digital-technology"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educationendowmentfoundation.org.uk/education-evidence/teaching-learning-toolkit/reading-comprehension-strateg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hyperlink" Target="https://educationendowmentfoundation.org.uk/education-evidence/teaching-learning-toolkit/parental-engagement" TargetMode="External"/><Relationship Id="rId27" Type="http://schemas.openxmlformats.org/officeDocument/2006/relationships/hyperlink" Target="https://educationendowmentfoundation.org.uk/education-evidence/teaching-learning-toolkit/social-and-emotional-learnin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EA66-E1B1-4001-A2B8-C3E399BE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3738</TotalTime>
  <Pages>13</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Kylie Grey</cp:lastModifiedBy>
  <cp:revision>10</cp:revision>
  <cp:lastPrinted>2025-09-12T08:58:00Z</cp:lastPrinted>
  <dcterms:created xsi:type="dcterms:W3CDTF">2025-09-09T14:14:00Z</dcterms:created>
  <dcterms:modified xsi:type="dcterms:W3CDTF">2025-09-12T10:41:00Z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